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EA84" w14:textId="77777777" w:rsidR="008F5F61" w:rsidRPr="00831873" w:rsidRDefault="008F5F61">
      <w:pPr>
        <w:rPr>
          <w:vanish/>
          <w:sz w:val="2"/>
        </w:rPr>
      </w:pPr>
    </w:p>
    <w:tbl>
      <w:tblPr>
        <w:tblW w:w="10750" w:type="dxa"/>
        <w:tblBorders>
          <w:insideH w:val="single" w:sz="4" w:space="0" w:color="auto"/>
        </w:tblBorders>
        <w:tblLook w:val="04A0" w:firstRow="1" w:lastRow="0" w:firstColumn="1" w:lastColumn="0" w:noHBand="0" w:noVBand="1"/>
      </w:tblPr>
      <w:tblGrid>
        <w:gridCol w:w="4017"/>
        <w:gridCol w:w="3390"/>
        <w:gridCol w:w="3343"/>
      </w:tblGrid>
      <w:tr w:rsidR="008F5F61" w:rsidRPr="002B5A04" w14:paraId="0A868751" w14:textId="77777777" w:rsidTr="00C0560F">
        <w:trPr>
          <w:trHeight w:val="209"/>
        </w:trPr>
        <w:tc>
          <w:tcPr>
            <w:tcW w:w="4017" w:type="dxa"/>
            <w:tcBorders>
              <w:top w:val="nil"/>
              <w:left w:val="nil"/>
              <w:bottom w:val="nil"/>
              <w:right w:val="nil"/>
            </w:tcBorders>
          </w:tcPr>
          <w:p w14:paraId="164F9BDA" w14:textId="6EFCC344" w:rsidR="008F5F61" w:rsidRPr="00036D36" w:rsidRDefault="008F5F61" w:rsidP="008F5F61">
            <w:pPr>
              <w:spacing w:line="240" w:lineRule="auto"/>
              <w:jc w:val="left"/>
              <w:rPr>
                <w:b/>
                <w:bCs/>
                <w:sz w:val="28"/>
                <w:szCs w:val="28"/>
              </w:rPr>
            </w:pPr>
          </w:p>
        </w:tc>
        <w:tc>
          <w:tcPr>
            <w:tcW w:w="3390" w:type="dxa"/>
            <w:tcBorders>
              <w:top w:val="nil"/>
              <w:left w:val="nil"/>
              <w:bottom w:val="nil"/>
              <w:right w:val="nil"/>
            </w:tcBorders>
          </w:tcPr>
          <w:p w14:paraId="071AC221" w14:textId="1B76D9E2" w:rsidR="008F5F61" w:rsidRPr="00036D36" w:rsidRDefault="001D0A35" w:rsidP="008F5F61">
            <w:pPr>
              <w:spacing w:line="240" w:lineRule="auto"/>
              <w:jc w:val="right"/>
              <w:rPr>
                <w:b/>
                <w:bCs/>
                <w:sz w:val="28"/>
                <w:szCs w:val="28"/>
              </w:rPr>
            </w:pPr>
            <w:r>
              <w:rPr>
                <w:b/>
                <w:noProof/>
                <w:sz w:val="28"/>
                <w:szCs w:val="28"/>
                <w:lang w:eastAsia="fr-CA"/>
              </w:rPr>
              <w:drawing>
                <wp:anchor distT="0" distB="0" distL="114300" distR="114300" simplePos="0" relativeHeight="251659264" behindDoc="1" locked="0" layoutInCell="1" allowOverlap="1" wp14:anchorId="0B35EB7B" wp14:editId="62836C3E">
                  <wp:simplePos x="0" y="0"/>
                  <wp:positionH relativeFrom="column">
                    <wp:posOffset>-68580</wp:posOffset>
                  </wp:positionH>
                  <wp:positionV relativeFrom="paragraph">
                    <wp:posOffset>539750</wp:posOffset>
                  </wp:positionV>
                  <wp:extent cx="1707515" cy="612775"/>
                  <wp:effectExtent l="0" t="0" r="6985" b="0"/>
                  <wp:wrapTight wrapText="bothSides">
                    <wp:wrapPolygon edited="0">
                      <wp:start x="2410" y="0"/>
                      <wp:lineTo x="0" y="4029"/>
                      <wp:lineTo x="0" y="16788"/>
                      <wp:lineTo x="2410" y="20817"/>
                      <wp:lineTo x="4097" y="20817"/>
                      <wp:lineTo x="21447" y="17459"/>
                      <wp:lineTo x="21447" y="5372"/>
                      <wp:lineTo x="18797" y="4029"/>
                      <wp:lineTo x="4097" y="0"/>
                      <wp:lineTo x="241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84737" name="Image 1" descr="GEOMEGA_LOGO (3)"/>
                          <pic:cNvPicPr>
                            <a:picLocks noChangeAspect="1" noChangeArrowheads="1"/>
                          </pic:cNvPicPr>
                        </pic:nvPicPr>
                        <pic:blipFill>
                          <a:blip r:embed="rId11"/>
                          <a:stretch>
                            <a:fillRect/>
                          </a:stretch>
                        </pic:blipFill>
                        <pic:spPr bwMode="auto">
                          <a:xfrm>
                            <a:off x="0" y="0"/>
                            <a:ext cx="1707515" cy="612775"/>
                          </a:xfrm>
                          <a:prstGeom prst="rect">
                            <a:avLst/>
                          </a:prstGeom>
                          <a:noFill/>
                          <a:ln>
                            <a:noFill/>
                          </a:ln>
                        </pic:spPr>
                      </pic:pic>
                    </a:graphicData>
                  </a:graphic>
                </wp:anchor>
              </w:drawing>
            </w:r>
          </w:p>
        </w:tc>
        <w:tc>
          <w:tcPr>
            <w:tcW w:w="3343" w:type="dxa"/>
            <w:tcBorders>
              <w:top w:val="nil"/>
              <w:left w:val="nil"/>
              <w:bottom w:val="nil"/>
              <w:right w:val="nil"/>
            </w:tcBorders>
          </w:tcPr>
          <w:p w14:paraId="28962DDA" w14:textId="7EB6932A" w:rsidR="008F5F61" w:rsidRPr="002302E4" w:rsidRDefault="008F5F61" w:rsidP="008F5F61">
            <w:pPr>
              <w:spacing w:line="240" w:lineRule="auto"/>
              <w:jc w:val="right"/>
              <w:rPr>
                <w:b/>
                <w:bCs/>
                <w:sz w:val="20"/>
                <w:szCs w:val="20"/>
              </w:rPr>
            </w:pPr>
            <w:r w:rsidRPr="002302E4">
              <w:rPr>
                <w:b/>
                <w:bCs/>
                <w:sz w:val="20"/>
                <w:szCs w:val="20"/>
              </w:rPr>
              <w:t>COMMUNIQUÉ DE PRESSE</w:t>
            </w:r>
          </w:p>
          <w:p w14:paraId="2469D113" w14:textId="7E2CE5BF" w:rsidR="008F5F61" w:rsidRPr="002B5A04" w:rsidRDefault="008F5F61" w:rsidP="008F5F61">
            <w:pPr>
              <w:spacing w:line="240" w:lineRule="auto"/>
              <w:jc w:val="right"/>
              <w:rPr>
                <w:bCs/>
                <w:sz w:val="28"/>
                <w:szCs w:val="28"/>
              </w:rPr>
            </w:pPr>
            <w:r w:rsidRPr="002302E4">
              <w:rPr>
                <w:b/>
                <w:bCs/>
                <w:sz w:val="20"/>
                <w:szCs w:val="20"/>
              </w:rPr>
              <w:t>Pour distribution immédiate</w:t>
            </w:r>
          </w:p>
        </w:tc>
      </w:tr>
      <w:tr w:rsidR="00C0560F" w:rsidRPr="002B5A04" w14:paraId="44614F86" w14:textId="77777777" w:rsidTr="00C0560F">
        <w:trPr>
          <w:trHeight w:val="209"/>
        </w:trPr>
        <w:tc>
          <w:tcPr>
            <w:tcW w:w="4017" w:type="dxa"/>
            <w:tcBorders>
              <w:top w:val="nil"/>
              <w:left w:val="nil"/>
              <w:bottom w:val="nil"/>
              <w:right w:val="nil"/>
            </w:tcBorders>
          </w:tcPr>
          <w:p w14:paraId="7BF42D08" w14:textId="77777777" w:rsidR="00C0560F" w:rsidRDefault="00C0560F" w:rsidP="008F5F61">
            <w:pPr>
              <w:spacing w:line="240" w:lineRule="auto"/>
              <w:jc w:val="left"/>
              <w:rPr>
                <w:noProof/>
              </w:rPr>
            </w:pPr>
          </w:p>
        </w:tc>
        <w:tc>
          <w:tcPr>
            <w:tcW w:w="3390" w:type="dxa"/>
            <w:tcBorders>
              <w:top w:val="nil"/>
              <w:left w:val="nil"/>
              <w:bottom w:val="nil"/>
              <w:right w:val="nil"/>
            </w:tcBorders>
          </w:tcPr>
          <w:p w14:paraId="61709253" w14:textId="57D24585" w:rsidR="00C0560F" w:rsidRPr="00CD31F0" w:rsidRDefault="00C0560F" w:rsidP="00C0560F">
            <w:pPr>
              <w:spacing w:line="240" w:lineRule="auto"/>
              <w:rPr>
                <w:b/>
                <w:noProof/>
                <w:sz w:val="28"/>
                <w:szCs w:val="28"/>
              </w:rPr>
            </w:pPr>
          </w:p>
        </w:tc>
        <w:tc>
          <w:tcPr>
            <w:tcW w:w="3343" w:type="dxa"/>
            <w:tcBorders>
              <w:top w:val="nil"/>
              <w:left w:val="nil"/>
              <w:bottom w:val="nil"/>
              <w:right w:val="nil"/>
            </w:tcBorders>
          </w:tcPr>
          <w:p w14:paraId="36AA7543" w14:textId="7E1D5251" w:rsidR="00C0560F" w:rsidRPr="002302E4" w:rsidRDefault="00C0560F" w:rsidP="008F5F61">
            <w:pPr>
              <w:spacing w:line="240" w:lineRule="auto"/>
              <w:jc w:val="right"/>
              <w:rPr>
                <w:b/>
                <w:bCs/>
                <w:sz w:val="20"/>
                <w:szCs w:val="20"/>
              </w:rPr>
            </w:pPr>
          </w:p>
        </w:tc>
      </w:tr>
    </w:tbl>
    <w:p w14:paraId="6601F7DA" w14:textId="77777777" w:rsidR="008F5F61" w:rsidRPr="002B5A04" w:rsidRDefault="008F5F61" w:rsidP="008F5F61">
      <w:pPr>
        <w:pStyle w:val="Default"/>
        <w:jc w:val="center"/>
        <w:rPr>
          <w:rFonts w:ascii="Calibri" w:hAnsi="Calibri" w:cs="Calibri"/>
          <w:b/>
          <w:color w:val="auto"/>
          <w:sz w:val="20"/>
          <w:szCs w:val="20"/>
          <w:highlight w:val="yellow"/>
        </w:rPr>
      </w:pPr>
    </w:p>
    <w:p w14:paraId="28100BC4" w14:textId="3E877E26" w:rsidR="00BC7BAB" w:rsidRDefault="00C36A0F" w:rsidP="001D0A35">
      <w:pPr>
        <w:jc w:val="center"/>
        <w:rPr>
          <w:b/>
          <w:sz w:val="48"/>
          <w:szCs w:val="48"/>
          <w:lang w:val="fr-FR"/>
        </w:rPr>
      </w:pPr>
      <w:r w:rsidRPr="00C36A0F">
        <w:rPr>
          <w:b/>
          <w:sz w:val="48"/>
          <w:szCs w:val="48"/>
          <w:lang w:val="fr-FR"/>
        </w:rPr>
        <w:t xml:space="preserve">Géoméga annonce l'octroi </w:t>
      </w:r>
      <w:r w:rsidR="00EF1DFD">
        <w:rPr>
          <w:b/>
          <w:sz w:val="48"/>
          <w:szCs w:val="48"/>
          <w:lang w:val="fr-FR"/>
        </w:rPr>
        <w:t>d’incitatifs à base d’actions</w:t>
      </w:r>
      <w:r w:rsidRPr="00C36A0F">
        <w:rPr>
          <w:b/>
          <w:sz w:val="48"/>
          <w:szCs w:val="48"/>
          <w:lang w:val="fr-FR"/>
        </w:rPr>
        <w:t xml:space="preserve"> et la prolongation de bons de souscription</w:t>
      </w:r>
    </w:p>
    <w:p w14:paraId="35DAF4F9" w14:textId="77777777" w:rsidR="00C36A0F" w:rsidRPr="00B5596B" w:rsidRDefault="00C36A0F" w:rsidP="001D0A35">
      <w:pPr>
        <w:jc w:val="center"/>
        <w:rPr>
          <w:rFonts w:asciiTheme="minorHAnsi" w:hAnsiTheme="minorHAnsi" w:cstheme="minorHAnsi"/>
          <w:bCs/>
        </w:rPr>
      </w:pPr>
    </w:p>
    <w:p w14:paraId="7640AA08" w14:textId="7E473144" w:rsidR="00EF0DE2" w:rsidRPr="00EF1DFD" w:rsidRDefault="00E127D1" w:rsidP="004E7763">
      <w:pPr>
        <w:rPr>
          <w:rStyle w:val="Strong"/>
          <w:rFonts w:asciiTheme="minorHAnsi" w:hAnsiTheme="minorHAnsi" w:cstheme="minorHAnsi"/>
          <w:b w:val="0"/>
          <w:bCs w:val="0"/>
        </w:rPr>
      </w:pPr>
      <w:r>
        <w:rPr>
          <w:b/>
          <w:bCs/>
          <w:color w:val="000000"/>
        </w:rPr>
        <w:t xml:space="preserve">Montréal, </w:t>
      </w:r>
      <w:r w:rsidR="00C36A0F">
        <w:rPr>
          <w:b/>
          <w:bCs/>
          <w:color w:val="000000"/>
        </w:rPr>
        <w:t>26 janvier 2024</w:t>
      </w:r>
      <w:r w:rsidRPr="00FE049F">
        <w:rPr>
          <w:b/>
          <w:bCs/>
          <w:color w:val="000000"/>
        </w:rPr>
        <w:t xml:space="preserve"> </w:t>
      </w:r>
      <w:r w:rsidRPr="00FE049F">
        <w:rPr>
          <w:color w:val="000000"/>
        </w:rPr>
        <w:t xml:space="preserve">– </w:t>
      </w:r>
      <w:r w:rsidRPr="00A367AB">
        <w:rPr>
          <w:rFonts w:eastAsiaTheme="minorHAnsi"/>
        </w:rPr>
        <w:t xml:space="preserve">Ressources </w:t>
      </w:r>
      <w:r>
        <w:rPr>
          <w:rFonts w:eastAsiaTheme="minorHAnsi"/>
        </w:rPr>
        <w:t>Géoméga</w:t>
      </w:r>
      <w:r w:rsidRPr="00A367AB">
        <w:rPr>
          <w:rFonts w:eastAsiaTheme="minorHAnsi"/>
        </w:rPr>
        <w:t xml:space="preserve"> </w:t>
      </w:r>
      <w:r>
        <w:rPr>
          <w:rFonts w:eastAsiaTheme="minorHAnsi"/>
        </w:rPr>
        <w:t>i</w:t>
      </w:r>
      <w:r w:rsidRPr="00A367AB">
        <w:rPr>
          <w:rFonts w:eastAsiaTheme="minorHAnsi"/>
        </w:rPr>
        <w:t>nc. (« </w:t>
      </w:r>
      <w:r>
        <w:rPr>
          <w:rFonts w:eastAsiaTheme="minorHAnsi"/>
          <w:b/>
          <w:bCs/>
        </w:rPr>
        <w:t>Géoméga</w:t>
      </w:r>
      <w:r w:rsidRPr="00A367AB">
        <w:rPr>
          <w:rFonts w:eastAsiaTheme="minorHAnsi"/>
        </w:rPr>
        <w:t> » ou la « </w:t>
      </w:r>
      <w:r w:rsidRPr="00A367AB">
        <w:rPr>
          <w:rFonts w:eastAsiaTheme="minorHAnsi"/>
          <w:b/>
          <w:bCs/>
        </w:rPr>
        <w:t>Société</w:t>
      </w:r>
      <w:r w:rsidRPr="00A367AB">
        <w:rPr>
          <w:rFonts w:eastAsiaTheme="minorHAnsi"/>
        </w:rPr>
        <w:t> ») (TSX</w:t>
      </w:r>
      <w:r w:rsidRPr="00A367AB">
        <w:rPr>
          <w:rFonts w:eastAsiaTheme="minorHAnsi"/>
        </w:rPr>
        <w:noBreakHyphen/>
        <w:t xml:space="preserve">V : GMA) </w:t>
      </w:r>
      <w:r w:rsidR="00C36A0F" w:rsidRPr="00C36A0F">
        <w:rPr>
          <w:rStyle w:val="Strong"/>
          <w:rFonts w:asciiTheme="minorHAnsi" w:hAnsiTheme="minorHAnsi" w:cstheme="minorHAnsi"/>
          <w:b w:val="0"/>
          <w:bCs w:val="0"/>
        </w:rPr>
        <w:t xml:space="preserve"> développeur de technologies propres pour l'extraction, le raffinage et le recyclage de</w:t>
      </w:r>
      <w:r w:rsidR="00C36A0F">
        <w:rPr>
          <w:rStyle w:val="Strong"/>
          <w:rFonts w:asciiTheme="minorHAnsi" w:hAnsiTheme="minorHAnsi" w:cstheme="minorHAnsi"/>
          <w:b w:val="0"/>
          <w:bCs w:val="0"/>
        </w:rPr>
        <w:t>s</w:t>
      </w:r>
      <w:r w:rsidR="00C36A0F" w:rsidRPr="00C36A0F">
        <w:rPr>
          <w:rStyle w:val="Strong"/>
          <w:rFonts w:asciiTheme="minorHAnsi" w:hAnsiTheme="minorHAnsi" w:cstheme="minorHAnsi"/>
          <w:b w:val="0"/>
          <w:bCs w:val="0"/>
        </w:rPr>
        <w:t xml:space="preserve"> terres rares et d'autres matériaux critiques, annonce </w:t>
      </w:r>
      <w:r w:rsidR="00BF07DB">
        <w:rPr>
          <w:rStyle w:val="Strong"/>
          <w:rFonts w:asciiTheme="minorHAnsi" w:hAnsiTheme="minorHAnsi" w:cstheme="minorHAnsi"/>
          <w:b w:val="0"/>
          <w:bCs w:val="0"/>
        </w:rPr>
        <w:t>l’octroi de</w:t>
      </w:r>
      <w:r w:rsidR="00C36A0F" w:rsidRPr="00C36A0F">
        <w:rPr>
          <w:rStyle w:val="Strong"/>
          <w:rFonts w:asciiTheme="minorHAnsi" w:hAnsiTheme="minorHAnsi" w:cstheme="minorHAnsi"/>
          <w:b w:val="0"/>
          <w:bCs w:val="0"/>
        </w:rPr>
        <w:t xml:space="preserve"> 845 000 options d'achat d'actions </w:t>
      </w:r>
      <w:r w:rsidR="00BF07DB">
        <w:rPr>
          <w:rStyle w:val="Strong"/>
          <w:rFonts w:asciiTheme="minorHAnsi" w:hAnsiTheme="minorHAnsi" w:cstheme="minorHAnsi"/>
          <w:b w:val="0"/>
          <w:bCs w:val="0"/>
        </w:rPr>
        <w:t xml:space="preserve">(« Options ») </w:t>
      </w:r>
      <w:r w:rsidR="00C36A0F" w:rsidRPr="00C36A0F">
        <w:rPr>
          <w:rStyle w:val="Strong"/>
          <w:rFonts w:asciiTheme="minorHAnsi" w:hAnsiTheme="minorHAnsi" w:cstheme="minorHAnsi"/>
          <w:b w:val="0"/>
          <w:bCs w:val="0"/>
        </w:rPr>
        <w:t xml:space="preserve">à ses employés, 971 000 unités d'actions différées (« UAD ») aux membres du conseil d'administration et 1 302 000 unités d'actions restreintes (« UAR ») aux dirigeants de la société (ensemble les « </w:t>
      </w:r>
      <w:r w:rsidR="00EF1DFD">
        <w:rPr>
          <w:rStyle w:val="Strong"/>
          <w:rFonts w:asciiTheme="minorHAnsi" w:hAnsiTheme="minorHAnsi" w:cstheme="minorHAnsi"/>
          <w:b w:val="0"/>
          <w:bCs w:val="0"/>
        </w:rPr>
        <w:t>Incitatifs</w:t>
      </w:r>
      <w:r w:rsidR="00C36A0F" w:rsidRPr="00C36A0F">
        <w:rPr>
          <w:rStyle w:val="Strong"/>
          <w:rFonts w:asciiTheme="minorHAnsi" w:hAnsiTheme="minorHAnsi" w:cstheme="minorHAnsi"/>
          <w:b w:val="0"/>
          <w:bCs w:val="0"/>
        </w:rPr>
        <w:t xml:space="preserve"> »)</w:t>
      </w:r>
      <w:r w:rsidR="00BF07DB">
        <w:rPr>
          <w:rStyle w:val="Strong"/>
          <w:rFonts w:asciiTheme="minorHAnsi" w:hAnsiTheme="minorHAnsi" w:cstheme="minorHAnsi"/>
          <w:b w:val="0"/>
          <w:bCs w:val="0"/>
        </w:rPr>
        <w:t>,</w:t>
      </w:r>
      <w:r w:rsidR="00C36A0F" w:rsidRPr="00C36A0F">
        <w:rPr>
          <w:rStyle w:val="Strong"/>
          <w:rFonts w:asciiTheme="minorHAnsi" w:hAnsiTheme="minorHAnsi" w:cstheme="minorHAnsi"/>
          <w:b w:val="0"/>
          <w:bCs w:val="0"/>
        </w:rPr>
        <w:t xml:space="preserve"> </w:t>
      </w:r>
      <w:r w:rsidR="00BF07DB" w:rsidRPr="00BF07DB">
        <w:rPr>
          <w:rStyle w:val="Strong"/>
          <w:rFonts w:asciiTheme="minorHAnsi" w:hAnsiTheme="minorHAnsi" w:cstheme="minorHAnsi"/>
          <w:b w:val="0"/>
          <w:bCs w:val="0"/>
        </w:rPr>
        <w:t xml:space="preserve">le tout conformément aux modalités et conditions du </w:t>
      </w:r>
      <w:r w:rsidR="00EF1DFD">
        <w:rPr>
          <w:rStyle w:val="Strong"/>
          <w:rFonts w:asciiTheme="minorHAnsi" w:hAnsiTheme="minorHAnsi" w:cstheme="minorHAnsi"/>
          <w:b w:val="0"/>
          <w:bCs w:val="0"/>
        </w:rPr>
        <w:t>r</w:t>
      </w:r>
      <w:r w:rsidR="00BF07DB">
        <w:rPr>
          <w:rStyle w:val="Strong"/>
          <w:rFonts w:asciiTheme="minorHAnsi" w:hAnsiTheme="minorHAnsi" w:cstheme="minorHAnsi"/>
          <w:b w:val="0"/>
          <w:bCs w:val="0"/>
        </w:rPr>
        <w:t xml:space="preserve">égime </w:t>
      </w:r>
      <w:r w:rsidR="00BF07DB" w:rsidRPr="00BF07DB">
        <w:rPr>
          <w:rStyle w:val="Strong"/>
          <w:rFonts w:asciiTheme="minorHAnsi" w:hAnsiTheme="minorHAnsi" w:cstheme="minorHAnsi"/>
          <w:b w:val="0"/>
          <w:bCs w:val="0"/>
        </w:rPr>
        <w:t xml:space="preserve">de </w:t>
      </w:r>
      <w:r w:rsidR="00EF1DFD">
        <w:rPr>
          <w:rStyle w:val="Strong"/>
          <w:rFonts w:asciiTheme="minorHAnsi" w:hAnsiTheme="minorHAnsi" w:cstheme="minorHAnsi"/>
          <w:b w:val="0"/>
          <w:bCs w:val="0"/>
        </w:rPr>
        <w:t>r</w:t>
      </w:r>
      <w:r w:rsidR="00BF07DB" w:rsidRPr="00BF07DB">
        <w:rPr>
          <w:rStyle w:val="Strong"/>
          <w:rFonts w:asciiTheme="minorHAnsi" w:hAnsiTheme="minorHAnsi" w:cstheme="minorHAnsi"/>
          <w:b w:val="0"/>
          <w:bCs w:val="0"/>
        </w:rPr>
        <w:t xml:space="preserve">émunération </w:t>
      </w:r>
      <w:r w:rsidR="00EF1DFD">
        <w:rPr>
          <w:rStyle w:val="Strong"/>
          <w:rFonts w:asciiTheme="minorHAnsi" w:hAnsiTheme="minorHAnsi" w:cstheme="minorHAnsi"/>
          <w:b w:val="0"/>
          <w:bCs w:val="0"/>
        </w:rPr>
        <w:t>à base d’a</w:t>
      </w:r>
      <w:r w:rsidR="00BF07DB" w:rsidRPr="00BF07DB">
        <w:rPr>
          <w:rStyle w:val="Strong"/>
          <w:rFonts w:asciiTheme="minorHAnsi" w:hAnsiTheme="minorHAnsi" w:cstheme="minorHAnsi"/>
          <w:b w:val="0"/>
          <w:bCs w:val="0"/>
        </w:rPr>
        <w:t>ctions</w:t>
      </w:r>
      <w:r w:rsidR="00BF07DB">
        <w:rPr>
          <w:rStyle w:val="Strong"/>
          <w:rFonts w:asciiTheme="minorHAnsi" w:hAnsiTheme="minorHAnsi" w:cstheme="minorHAnsi"/>
          <w:b w:val="0"/>
          <w:bCs w:val="0"/>
        </w:rPr>
        <w:t xml:space="preserve"> </w:t>
      </w:r>
      <w:r w:rsidR="00EF1DFD">
        <w:rPr>
          <w:rStyle w:val="Strong"/>
          <w:rFonts w:asciiTheme="minorHAnsi" w:hAnsiTheme="minorHAnsi" w:cstheme="minorHAnsi"/>
          <w:b w:val="0"/>
          <w:bCs w:val="0"/>
        </w:rPr>
        <w:t>o</w:t>
      </w:r>
      <w:r w:rsidR="00BF07DB">
        <w:rPr>
          <w:rStyle w:val="Strong"/>
          <w:rFonts w:asciiTheme="minorHAnsi" w:hAnsiTheme="minorHAnsi" w:cstheme="minorHAnsi"/>
          <w:b w:val="0"/>
          <w:bCs w:val="0"/>
        </w:rPr>
        <w:t>mnibus</w:t>
      </w:r>
      <w:r w:rsidR="00BF07DB" w:rsidRPr="00BF07DB">
        <w:rPr>
          <w:rStyle w:val="Strong"/>
          <w:rFonts w:asciiTheme="minorHAnsi" w:hAnsiTheme="minorHAnsi" w:cstheme="minorHAnsi"/>
          <w:b w:val="0"/>
          <w:bCs w:val="0"/>
        </w:rPr>
        <w:t xml:space="preserve"> (« </w:t>
      </w:r>
      <w:r w:rsidR="00BF07DB">
        <w:rPr>
          <w:rStyle w:val="Strong"/>
          <w:rFonts w:asciiTheme="minorHAnsi" w:hAnsiTheme="minorHAnsi" w:cstheme="minorHAnsi"/>
          <w:b w:val="0"/>
          <w:bCs w:val="0"/>
        </w:rPr>
        <w:t>Régime</w:t>
      </w:r>
      <w:r w:rsidR="00BF07DB" w:rsidRPr="00BF07DB">
        <w:rPr>
          <w:rStyle w:val="Strong"/>
          <w:rFonts w:asciiTheme="minorHAnsi" w:hAnsiTheme="minorHAnsi" w:cstheme="minorHAnsi"/>
          <w:b w:val="0"/>
          <w:bCs w:val="0"/>
        </w:rPr>
        <w:t xml:space="preserve"> Omnibus »). L’objectif du </w:t>
      </w:r>
      <w:r w:rsidR="00BF07DB">
        <w:rPr>
          <w:rStyle w:val="Strong"/>
          <w:rFonts w:asciiTheme="minorHAnsi" w:hAnsiTheme="minorHAnsi" w:cstheme="minorHAnsi"/>
          <w:b w:val="0"/>
          <w:bCs w:val="0"/>
        </w:rPr>
        <w:t>R</w:t>
      </w:r>
      <w:r w:rsidR="00BF07DB" w:rsidRPr="00BF07DB">
        <w:rPr>
          <w:rStyle w:val="Strong"/>
          <w:rFonts w:asciiTheme="minorHAnsi" w:hAnsiTheme="minorHAnsi" w:cstheme="minorHAnsi"/>
          <w:b w:val="0"/>
          <w:bCs w:val="0"/>
        </w:rPr>
        <w:t xml:space="preserve">égime </w:t>
      </w:r>
      <w:r w:rsidR="00BF07DB">
        <w:rPr>
          <w:rStyle w:val="Strong"/>
          <w:rFonts w:asciiTheme="minorHAnsi" w:hAnsiTheme="minorHAnsi" w:cstheme="minorHAnsi"/>
          <w:b w:val="0"/>
          <w:bCs w:val="0"/>
        </w:rPr>
        <w:t>O</w:t>
      </w:r>
      <w:r w:rsidR="00BF07DB" w:rsidRPr="00BF07DB">
        <w:rPr>
          <w:rStyle w:val="Strong"/>
          <w:rFonts w:asciiTheme="minorHAnsi" w:hAnsiTheme="minorHAnsi" w:cstheme="minorHAnsi"/>
          <w:b w:val="0"/>
          <w:bCs w:val="0"/>
        </w:rPr>
        <w:t>mnibus est de créer un programme de rémunération incitative aligné sur les objectifs à long terme de la Société.</w:t>
      </w:r>
      <w:r w:rsidR="00EF1DFD">
        <w:rPr>
          <w:rStyle w:val="Strong"/>
          <w:rFonts w:asciiTheme="minorHAnsi" w:hAnsiTheme="minorHAnsi" w:cstheme="minorHAnsi"/>
          <w:b w:val="0"/>
          <w:bCs w:val="0"/>
        </w:rPr>
        <w:t xml:space="preserve"> </w:t>
      </w:r>
      <w:r w:rsidR="00C36A0F" w:rsidRPr="00C36A0F">
        <w:rPr>
          <w:rStyle w:val="Strong"/>
          <w:rFonts w:asciiTheme="minorHAnsi" w:hAnsiTheme="minorHAnsi" w:cstheme="minorHAnsi"/>
          <w:b w:val="0"/>
          <w:bCs w:val="0"/>
        </w:rPr>
        <w:t>De plus, la Société annonce la prolongation</w:t>
      </w:r>
      <w:r w:rsidR="00BF07DB">
        <w:rPr>
          <w:rStyle w:val="Strong"/>
          <w:rFonts w:asciiTheme="minorHAnsi" w:hAnsiTheme="minorHAnsi" w:cstheme="minorHAnsi"/>
          <w:b w:val="0"/>
          <w:bCs w:val="0"/>
        </w:rPr>
        <w:t xml:space="preserve"> proposée</w:t>
      </w:r>
      <w:r w:rsidR="00C36A0F" w:rsidRPr="00C36A0F">
        <w:rPr>
          <w:rStyle w:val="Strong"/>
          <w:rFonts w:asciiTheme="minorHAnsi" w:hAnsiTheme="minorHAnsi" w:cstheme="minorHAnsi"/>
          <w:b w:val="0"/>
          <w:bCs w:val="0"/>
        </w:rPr>
        <w:t xml:space="preserve"> </w:t>
      </w:r>
      <w:r w:rsidR="00BF07DB">
        <w:rPr>
          <w:rStyle w:val="Strong"/>
          <w:rFonts w:asciiTheme="minorHAnsi" w:hAnsiTheme="minorHAnsi" w:cstheme="minorHAnsi"/>
          <w:b w:val="0"/>
          <w:bCs w:val="0"/>
        </w:rPr>
        <w:t xml:space="preserve">de 2 ans </w:t>
      </w:r>
      <w:r w:rsidR="00C36A0F" w:rsidRPr="00C36A0F">
        <w:rPr>
          <w:rStyle w:val="Strong"/>
          <w:rFonts w:asciiTheme="minorHAnsi" w:hAnsiTheme="minorHAnsi" w:cstheme="minorHAnsi"/>
          <w:b w:val="0"/>
          <w:bCs w:val="0"/>
        </w:rPr>
        <w:t xml:space="preserve">de 704 028 bons de souscription </w:t>
      </w:r>
      <w:r w:rsidR="00BF07DB">
        <w:rPr>
          <w:rStyle w:val="Strong"/>
          <w:rFonts w:asciiTheme="minorHAnsi" w:hAnsiTheme="minorHAnsi" w:cstheme="minorHAnsi"/>
          <w:b w:val="0"/>
          <w:bCs w:val="0"/>
        </w:rPr>
        <w:t>expirant</w:t>
      </w:r>
      <w:r w:rsidR="00C36A0F" w:rsidRPr="00C36A0F">
        <w:rPr>
          <w:rStyle w:val="Strong"/>
          <w:rFonts w:asciiTheme="minorHAnsi" w:hAnsiTheme="minorHAnsi" w:cstheme="minorHAnsi"/>
          <w:b w:val="0"/>
          <w:bCs w:val="0"/>
        </w:rPr>
        <w:t xml:space="preserve"> le 8 février 2024.</w:t>
      </w:r>
    </w:p>
    <w:p w14:paraId="51978ECF" w14:textId="77777777" w:rsidR="004E7763" w:rsidRDefault="004E7763" w:rsidP="004E7763">
      <w:pPr>
        <w:rPr>
          <w:rStyle w:val="Strong"/>
          <w:rFonts w:asciiTheme="minorHAnsi" w:hAnsiTheme="minorHAnsi" w:cstheme="minorHAnsi"/>
        </w:rPr>
      </w:pPr>
    </w:p>
    <w:p w14:paraId="1E29B2B4" w14:textId="1CBDC32F" w:rsidR="00C36A0F" w:rsidRPr="00C36A0F" w:rsidRDefault="00C36A0F" w:rsidP="00C36A0F">
      <w:pPr>
        <w:rPr>
          <w:rStyle w:val="Strong"/>
          <w:rFonts w:asciiTheme="minorHAnsi" w:hAnsiTheme="minorHAnsi" w:cstheme="minorHAnsi"/>
          <w:b w:val="0"/>
          <w:bCs w:val="0"/>
        </w:rPr>
      </w:pPr>
      <w:r w:rsidRPr="00C36A0F">
        <w:rPr>
          <w:rStyle w:val="Strong"/>
          <w:rFonts w:asciiTheme="minorHAnsi" w:hAnsiTheme="minorHAnsi" w:cstheme="minorHAnsi"/>
          <w:b w:val="0"/>
          <w:bCs w:val="0"/>
        </w:rPr>
        <w:t xml:space="preserve">Les </w:t>
      </w:r>
      <w:r w:rsidR="00EF1DFD">
        <w:rPr>
          <w:rStyle w:val="Strong"/>
          <w:rFonts w:asciiTheme="minorHAnsi" w:hAnsiTheme="minorHAnsi" w:cstheme="minorHAnsi"/>
          <w:b w:val="0"/>
          <w:bCs w:val="0"/>
        </w:rPr>
        <w:t>Incitatifs</w:t>
      </w:r>
      <w:r w:rsidRPr="00C36A0F">
        <w:rPr>
          <w:rStyle w:val="Strong"/>
          <w:rFonts w:asciiTheme="minorHAnsi" w:hAnsiTheme="minorHAnsi" w:cstheme="minorHAnsi"/>
          <w:b w:val="0"/>
          <w:bCs w:val="0"/>
        </w:rPr>
        <w:t xml:space="preserve"> émis ont été </w:t>
      </w:r>
      <w:r w:rsidR="00BF07DB">
        <w:rPr>
          <w:rStyle w:val="Strong"/>
          <w:rFonts w:asciiTheme="minorHAnsi" w:hAnsiTheme="minorHAnsi" w:cstheme="minorHAnsi"/>
          <w:b w:val="0"/>
          <w:bCs w:val="0"/>
        </w:rPr>
        <w:t>recommandés</w:t>
      </w:r>
      <w:r w:rsidRPr="00C36A0F">
        <w:rPr>
          <w:rStyle w:val="Strong"/>
          <w:rFonts w:asciiTheme="minorHAnsi" w:hAnsiTheme="minorHAnsi" w:cstheme="minorHAnsi"/>
          <w:b w:val="0"/>
          <w:bCs w:val="0"/>
        </w:rPr>
        <w:t xml:space="preserve"> par le comité de gouvernance, </w:t>
      </w:r>
      <w:r w:rsidR="00E27D12">
        <w:rPr>
          <w:rStyle w:val="Strong"/>
          <w:rFonts w:asciiTheme="minorHAnsi" w:hAnsiTheme="minorHAnsi" w:cstheme="minorHAnsi"/>
          <w:b w:val="0"/>
          <w:bCs w:val="0"/>
        </w:rPr>
        <w:t xml:space="preserve">de nomination et de </w:t>
      </w:r>
      <w:r w:rsidRPr="00C36A0F">
        <w:rPr>
          <w:rStyle w:val="Strong"/>
          <w:rFonts w:asciiTheme="minorHAnsi" w:hAnsiTheme="minorHAnsi" w:cstheme="minorHAnsi"/>
          <w:b w:val="0"/>
          <w:bCs w:val="0"/>
        </w:rPr>
        <w:t xml:space="preserve">rémunération </w:t>
      </w:r>
      <w:r>
        <w:rPr>
          <w:rStyle w:val="Strong"/>
          <w:rFonts w:asciiTheme="minorHAnsi" w:hAnsiTheme="minorHAnsi" w:cstheme="minorHAnsi"/>
          <w:b w:val="0"/>
          <w:bCs w:val="0"/>
        </w:rPr>
        <w:t>de l</w:t>
      </w:r>
      <w:r w:rsidR="00E27D12">
        <w:rPr>
          <w:rStyle w:val="Strong"/>
          <w:rFonts w:asciiTheme="minorHAnsi" w:hAnsiTheme="minorHAnsi" w:cstheme="minorHAnsi"/>
          <w:b w:val="0"/>
          <w:bCs w:val="0"/>
        </w:rPr>
        <w:t>a Société (le « Comité »)</w:t>
      </w:r>
      <w:r>
        <w:rPr>
          <w:rStyle w:val="Strong"/>
          <w:rFonts w:asciiTheme="minorHAnsi" w:hAnsiTheme="minorHAnsi" w:cstheme="minorHAnsi"/>
          <w:b w:val="0"/>
          <w:bCs w:val="0"/>
        </w:rPr>
        <w:t xml:space="preserve"> </w:t>
      </w:r>
      <w:r w:rsidR="00BF07DB">
        <w:rPr>
          <w:rStyle w:val="Strong"/>
          <w:rFonts w:asciiTheme="minorHAnsi" w:hAnsiTheme="minorHAnsi" w:cstheme="minorHAnsi"/>
          <w:b w:val="0"/>
          <w:bCs w:val="0"/>
        </w:rPr>
        <w:t>suivant</w:t>
      </w:r>
      <w:r w:rsidRPr="00C36A0F">
        <w:rPr>
          <w:rStyle w:val="Strong"/>
          <w:rFonts w:asciiTheme="minorHAnsi" w:hAnsiTheme="minorHAnsi" w:cstheme="minorHAnsi"/>
          <w:b w:val="0"/>
          <w:bCs w:val="0"/>
        </w:rPr>
        <w:t xml:space="preserve"> l'approbation du </w:t>
      </w:r>
      <w:r w:rsidR="00BF07DB">
        <w:rPr>
          <w:rStyle w:val="Strong"/>
          <w:rFonts w:asciiTheme="minorHAnsi" w:hAnsiTheme="minorHAnsi" w:cstheme="minorHAnsi"/>
          <w:b w:val="0"/>
          <w:bCs w:val="0"/>
        </w:rPr>
        <w:t>Régime Omnibus</w:t>
      </w:r>
      <w:r w:rsidRPr="00C36A0F">
        <w:rPr>
          <w:rStyle w:val="Strong"/>
          <w:rFonts w:asciiTheme="minorHAnsi" w:hAnsiTheme="minorHAnsi" w:cstheme="minorHAnsi"/>
          <w:b w:val="0"/>
          <w:bCs w:val="0"/>
        </w:rPr>
        <w:t xml:space="preserve"> lors de la dernière assemblée annuelle des actionnaires</w:t>
      </w:r>
      <w:r w:rsidR="00BF07DB">
        <w:rPr>
          <w:rStyle w:val="Strong"/>
          <w:rFonts w:asciiTheme="minorHAnsi" w:hAnsiTheme="minorHAnsi" w:cstheme="minorHAnsi"/>
          <w:b w:val="0"/>
          <w:bCs w:val="0"/>
        </w:rPr>
        <w:t xml:space="preserve"> en octobre 2023,</w:t>
      </w:r>
      <w:r w:rsidR="00BF07DB" w:rsidRPr="00BF07DB">
        <w:rPr>
          <w:rStyle w:val="Strong"/>
          <w:rFonts w:asciiTheme="minorHAnsi" w:hAnsiTheme="minorHAnsi" w:cstheme="minorHAnsi"/>
          <w:b w:val="0"/>
          <w:bCs w:val="0"/>
        </w:rPr>
        <w:t xml:space="preserve"> en tenant compte des étapes franchies au cours des deux derniers exercices et du fait qu'aucune </w:t>
      </w:r>
      <w:r w:rsidR="00BF07DB">
        <w:rPr>
          <w:rStyle w:val="Strong"/>
          <w:rFonts w:asciiTheme="minorHAnsi" w:hAnsiTheme="minorHAnsi" w:cstheme="minorHAnsi"/>
          <w:b w:val="0"/>
          <w:bCs w:val="0"/>
        </w:rPr>
        <w:t>O</w:t>
      </w:r>
      <w:r w:rsidR="00BF07DB" w:rsidRPr="00BF07DB">
        <w:rPr>
          <w:rStyle w:val="Strong"/>
          <w:rFonts w:asciiTheme="minorHAnsi" w:hAnsiTheme="minorHAnsi" w:cstheme="minorHAnsi"/>
          <w:b w:val="0"/>
          <w:bCs w:val="0"/>
        </w:rPr>
        <w:t xml:space="preserve">ption </w:t>
      </w:r>
      <w:r w:rsidR="00BF07DB">
        <w:rPr>
          <w:rStyle w:val="Strong"/>
          <w:rFonts w:asciiTheme="minorHAnsi" w:hAnsiTheme="minorHAnsi" w:cstheme="minorHAnsi"/>
          <w:b w:val="0"/>
          <w:bCs w:val="0"/>
        </w:rPr>
        <w:t>ou</w:t>
      </w:r>
      <w:r w:rsidR="00BF07DB" w:rsidRPr="00BF07DB">
        <w:rPr>
          <w:rStyle w:val="Strong"/>
          <w:rFonts w:asciiTheme="minorHAnsi" w:hAnsiTheme="minorHAnsi" w:cstheme="minorHAnsi"/>
          <w:b w:val="0"/>
          <w:bCs w:val="0"/>
        </w:rPr>
        <w:t xml:space="preserve"> autre rémunération incitative </w:t>
      </w:r>
      <w:r w:rsidR="00BF07DB">
        <w:rPr>
          <w:rStyle w:val="Strong"/>
          <w:rFonts w:asciiTheme="minorHAnsi" w:hAnsiTheme="minorHAnsi" w:cstheme="minorHAnsi"/>
          <w:b w:val="0"/>
          <w:bCs w:val="0"/>
        </w:rPr>
        <w:t xml:space="preserve">n’ait été </w:t>
      </w:r>
      <w:r w:rsidR="00BF07DB" w:rsidRPr="00BF07DB">
        <w:rPr>
          <w:rStyle w:val="Strong"/>
          <w:rFonts w:asciiTheme="minorHAnsi" w:hAnsiTheme="minorHAnsi" w:cstheme="minorHAnsi"/>
          <w:b w:val="0"/>
          <w:bCs w:val="0"/>
        </w:rPr>
        <w:t>versée au cours de cette période.</w:t>
      </w:r>
    </w:p>
    <w:p w14:paraId="40B9590A" w14:textId="77777777" w:rsidR="00C36A0F" w:rsidRPr="00C36A0F" w:rsidRDefault="00C36A0F" w:rsidP="00C36A0F">
      <w:pPr>
        <w:rPr>
          <w:rStyle w:val="Strong"/>
          <w:rFonts w:asciiTheme="minorHAnsi" w:hAnsiTheme="minorHAnsi" w:cstheme="minorHAnsi"/>
          <w:b w:val="0"/>
          <w:bCs w:val="0"/>
        </w:rPr>
      </w:pPr>
    </w:p>
    <w:p w14:paraId="2199B092" w14:textId="5135671B" w:rsidR="00C36A0F" w:rsidRPr="00C36A0F" w:rsidRDefault="00C36A0F" w:rsidP="00C36A0F">
      <w:pPr>
        <w:rPr>
          <w:rStyle w:val="Strong"/>
          <w:rFonts w:asciiTheme="minorHAnsi" w:hAnsiTheme="minorHAnsi" w:cstheme="minorHAnsi"/>
          <w:b w:val="0"/>
          <w:bCs w:val="0"/>
        </w:rPr>
      </w:pPr>
      <w:r w:rsidRPr="00C36A0F">
        <w:rPr>
          <w:rStyle w:val="Strong"/>
          <w:rFonts w:asciiTheme="minorHAnsi" w:hAnsiTheme="minorHAnsi" w:cstheme="minorHAnsi"/>
          <w:b w:val="0"/>
          <w:bCs w:val="0"/>
        </w:rPr>
        <w:t xml:space="preserve">Les détails des </w:t>
      </w:r>
      <w:r w:rsidR="00D42AE3">
        <w:rPr>
          <w:rStyle w:val="Strong"/>
          <w:rFonts w:asciiTheme="minorHAnsi" w:hAnsiTheme="minorHAnsi" w:cstheme="minorHAnsi"/>
          <w:b w:val="0"/>
          <w:bCs w:val="0"/>
        </w:rPr>
        <w:t>Incitatifs</w:t>
      </w:r>
      <w:r w:rsidRPr="00C36A0F">
        <w:rPr>
          <w:rStyle w:val="Strong"/>
          <w:rFonts w:asciiTheme="minorHAnsi" w:hAnsiTheme="minorHAnsi" w:cstheme="minorHAnsi"/>
          <w:b w:val="0"/>
          <w:bCs w:val="0"/>
        </w:rPr>
        <w:t xml:space="preserve"> sont les suivants :</w:t>
      </w:r>
    </w:p>
    <w:p w14:paraId="2017A603" w14:textId="77777777" w:rsidR="00C36A0F" w:rsidRPr="00C36A0F" w:rsidRDefault="00C36A0F" w:rsidP="00C36A0F">
      <w:pPr>
        <w:rPr>
          <w:rStyle w:val="Strong"/>
          <w:rFonts w:asciiTheme="minorHAnsi" w:hAnsiTheme="minorHAnsi" w:cstheme="minorHAnsi"/>
          <w:b w:val="0"/>
          <w:bCs w:val="0"/>
        </w:rPr>
      </w:pPr>
    </w:p>
    <w:p w14:paraId="648FF1A4" w14:textId="5CF334BD" w:rsidR="00C36A0F" w:rsidRDefault="00C36A0F" w:rsidP="00C36A0F">
      <w:pPr>
        <w:rPr>
          <w:rStyle w:val="Strong"/>
          <w:rFonts w:asciiTheme="minorHAnsi" w:hAnsiTheme="minorHAnsi" w:cstheme="minorHAnsi"/>
          <w:b w:val="0"/>
          <w:bCs w:val="0"/>
        </w:rPr>
      </w:pPr>
      <w:r w:rsidRPr="007B0550">
        <w:rPr>
          <w:rStyle w:val="Strong"/>
          <w:rFonts w:asciiTheme="minorHAnsi" w:hAnsiTheme="minorHAnsi" w:cstheme="minorHAnsi"/>
          <w:b w:val="0"/>
          <w:bCs w:val="0"/>
          <w:i/>
          <w:iCs/>
        </w:rPr>
        <w:t>Options d'achat d'actions :</w:t>
      </w:r>
      <w:r w:rsidRPr="00C36A0F">
        <w:rPr>
          <w:rStyle w:val="Strong"/>
          <w:rFonts w:asciiTheme="minorHAnsi" w:hAnsiTheme="minorHAnsi" w:cstheme="minorHAnsi"/>
          <w:b w:val="0"/>
          <w:bCs w:val="0"/>
        </w:rPr>
        <w:t xml:space="preserve"> </w:t>
      </w:r>
      <w:r w:rsidR="00BF07DB" w:rsidRPr="00BF07DB">
        <w:rPr>
          <w:rStyle w:val="Strong"/>
          <w:rFonts w:asciiTheme="minorHAnsi" w:hAnsiTheme="minorHAnsi" w:cstheme="minorHAnsi"/>
          <w:b w:val="0"/>
          <w:bCs w:val="0"/>
        </w:rPr>
        <w:t xml:space="preserve">un total de 845 000 </w:t>
      </w:r>
      <w:r w:rsidR="007B0550">
        <w:rPr>
          <w:rStyle w:val="Strong"/>
          <w:rFonts w:asciiTheme="minorHAnsi" w:hAnsiTheme="minorHAnsi" w:cstheme="minorHAnsi"/>
          <w:b w:val="0"/>
          <w:bCs w:val="0"/>
        </w:rPr>
        <w:t>O</w:t>
      </w:r>
      <w:r w:rsidR="00BF07DB" w:rsidRPr="00BF07DB">
        <w:rPr>
          <w:rStyle w:val="Strong"/>
          <w:rFonts w:asciiTheme="minorHAnsi" w:hAnsiTheme="minorHAnsi" w:cstheme="minorHAnsi"/>
          <w:b w:val="0"/>
          <w:bCs w:val="0"/>
        </w:rPr>
        <w:t xml:space="preserve">ptions </w:t>
      </w:r>
      <w:r w:rsidR="00D42AE3">
        <w:rPr>
          <w:rStyle w:val="Strong"/>
          <w:rFonts w:asciiTheme="minorHAnsi" w:hAnsiTheme="minorHAnsi" w:cstheme="minorHAnsi"/>
          <w:b w:val="0"/>
          <w:bCs w:val="0"/>
        </w:rPr>
        <w:t>a</w:t>
      </w:r>
      <w:r w:rsidR="00BF07DB" w:rsidRPr="00BF07DB">
        <w:rPr>
          <w:rStyle w:val="Strong"/>
          <w:rFonts w:asciiTheme="minorHAnsi" w:hAnsiTheme="minorHAnsi" w:cstheme="minorHAnsi"/>
          <w:b w:val="0"/>
          <w:bCs w:val="0"/>
        </w:rPr>
        <w:t xml:space="preserve"> été émis aux employés </w:t>
      </w:r>
      <w:r w:rsidR="007B0550">
        <w:rPr>
          <w:rStyle w:val="Strong"/>
          <w:rFonts w:asciiTheme="minorHAnsi" w:hAnsiTheme="minorHAnsi" w:cstheme="minorHAnsi"/>
          <w:b w:val="0"/>
          <w:bCs w:val="0"/>
        </w:rPr>
        <w:t>à un</w:t>
      </w:r>
      <w:r w:rsidR="00BF07DB" w:rsidRPr="00BF07DB">
        <w:rPr>
          <w:rStyle w:val="Strong"/>
          <w:rFonts w:asciiTheme="minorHAnsi" w:hAnsiTheme="minorHAnsi" w:cstheme="minorHAnsi"/>
          <w:b w:val="0"/>
          <w:bCs w:val="0"/>
        </w:rPr>
        <w:t xml:space="preserve"> prix d'exercice de 0,215 $ et expirant après 5 ans. Les </w:t>
      </w:r>
      <w:r w:rsidR="00091156">
        <w:rPr>
          <w:rStyle w:val="Strong"/>
          <w:rFonts w:asciiTheme="minorHAnsi" w:hAnsiTheme="minorHAnsi" w:cstheme="minorHAnsi"/>
          <w:b w:val="0"/>
          <w:bCs w:val="0"/>
        </w:rPr>
        <w:t>O</w:t>
      </w:r>
      <w:r w:rsidR="00BF07DB" w:rsidRPr="00BF07DB">
        <w:rPr>
          <w:rStyle w:val="Strong"/>
          <w:rFonts w:asciiTheme="minorHAnsi" w:hAnsiTheme="minorHAnsi" w:cstheme="minorHAnsi"/>
          <w:b w:val="0"/>
          <w:bCs w:val="0"/>
        </w:rPr>
        <w:t>ptions sont acquises sur une période de 2 ans par tranches de 25 % tous les 6 mois.</w:t>
      </w:r>
    </w:p>
    <w:p w14:paraId="382DC075" w14:textId="77777777" w:rsidR="007B0550" w:rsidRPr="00C36A0F" w:rsidRDefault="007B0550" w:rsidP="00C36A0F">
      <w:pPr>
        <w:rPr>
          <w:rStyle w:val="Strong"/>
          <w:rFonts w:asciiTheme="minorHAnsi" w:hAnsiTheme="minorHAnsi" w:cstheme="minorHAnsi"/>
          <w:b w:val="0"/>
          <w:bCs w:val="0"/>
        </w:rPr>
      </w:pPr>
    </w:p>
    <w:p w14:paraId="0F30A868" w14:textId="2ECDF4CD" w:rsidR="00C36A0F" w:rsidRDefault="00C36A0F" w:rsidP="00C36A0F">
      <w:pPr>
        <w:rPr>
          <w:rStyle w:val="Strong"/>
          <w:rFonts w:asciiTheme="minorHAnsi" w:hAnsiTheme="minorHAnsi" w:cstheme="minorHAnsi"/>
          <w:b w:val="0"/>
          <w:bCs w:val="0"/>
        </w:rPr>
      </w:pPr>
      <w:r w:rsidRPr="007B0550">
        <w:rPr>
          <w:rStyle w:val="Strong"/>
          <w:rFonts w:asciiTheme="minorHAnsi" w:hAnsiTheme="minorHAnsi" w:cstheme="minorHAnsi"/>
          <w:b w:val="0"/>
          <w:bCs w:val="0"/>
          <w:i/>
          <w:iCs/>
        </w:rPr>
        <w:t>Unités d’actions différées</w:t>
      </w:r>
      <w:r w:rsidRPr="00C36A0F">
        <w:rPr>
          <w:rStyle w:val="Strong"/>
          <w:rFonts w:asciiTheme="minorHAnsi" w:hAnsiTheme="minorHAnsi" w:cstheme="minorHAnsi"/>
          <w:b w:val="0"/>
          <w:bCs w:val="0"/>
        </w:rPr>
        <w:t xml:space="preserve"> : </w:t>
      </w:r>
      <w:r w:rsidR="007B0550" w:rsidRPr="007B0550">
        <w:rPr>
          <w:rStyle w:val="Strong"/>
          <w:rFonts w:asciiTheme="minorHAnsi" w:hAnsiTheme="minorHAnsi" w:cstheme="minorHAnsi"/>
          <w:b w:val="0"/>
          <w:bCs w:val="0"/>
        </w:rPr>
        <w:t xml:space="preserve">un total de 971 000 UAD </w:t>
      </w:r>
      <w:r w:rsidR="00D42AE3">
        <w:rPr>
          <w:rStyle w:val="Strong"/>
          <w:rFonts w:asciiTheme="minorHAnsi" w:hAnsiTheme="minorHAnsi" w:cstheme="minorHAnsi"/>
          <w:b w:val="0"/>
          <w:bCs w:val="0"/>
        </w:rPr>
        <w:t>a</w:t>
      </w:r>
      <w:r w:rsidR="007B0550" w:rsidRPr="007B0550">
        <w:rPr>
          <w:rStyle w:val="Strong"/>
          <w:rFonts w:asciiTheme="minorHAnsi" w:hAnsiTheme="minorHAnsi" w:cstheme="minorHAnsi"/>
          <w:b w:val="0"/>
          <w:bCs w:val="0"/>
        </w:rPr>
        <w:t xml:space="preserve"> été émis aux membres du conseil d'administration. Les UAD sont acquises un an après la date d'attribution, sous réserve de certaines exceptions, et chaque UAD donne au porteur le droit de recevoir une action de la Société, ou dans certaines circonstances, un paiement en espèces égal à la valeur d'une action de la Société, au moment où le titulaire cesse d'être administrateur de la Société. Le nombre d'UAD octroyées a été calculé en fonction de la rémunération à verser aux administrateurs pour les exercices 2022 et 2023, tel que recommandé par le Comité, et en utilisant un VWAP de 10 jours </w:t>
      </w:r>
      <w:r w:rsidR="007B0550">
        <w:rPr>
          <w:rStyle w:val="Strong"/>
          <w:rFonts w:asciiTheme="minorHAnsi" w:hAnsiTheme="minorHAnsi" w:cstheme="minorHAnsi"/>
          <w:b w:val="0"/>
          <w:bCs w:val="0"/>
        </w:rPr>
        <w:t>des actions au</w:t>
      </w:r>
      <w:r w:rsidR="007B0550" w:rsidRPr="007B0550">
        <w:rPr>
          <w:rStyle w:val="Strong"/>
          <w:rFonts w:asciiTheme="minorHAnsi" w:hAnsiTheme="minorHAnsi" w:cstheme="minorHAnsi"/>
          <w:b w:val="0"/>
          <w:bCs w:val="0"/>
        </w:rPr>
        <w:t xml:space="preserve"> TSXV pour calculer la valeur, le tout tel que prévu dans le </w:t>
      </w:r>
      <w:r w:rsidR="007B0550">
        <w:rPr>
          <w:rStyle w:val="Strong"/>
          <w:rFonts w:asciiTheme="minorHAnsi" w:hAnsiTheme="minorHAnsi" w:cstheme="minorHAnsi"/>
          <w:b w:val="0"/>
          <w:bCs w:val="0"/>
        </w:rPr>
        <w:t>Régime</w:t>
      </w:r>
      <w:r w:rsidR="007B0550" w:rsidRPr="007B0550">
        <w:rPr>
          <w:rStyle w:val="Strong"/>
          <w:rFonts w:asciiTheme="minorHAnsi" w:hAnsiTheme="minorHAnsi" w:cstheme="minorHAnsi"/>
          <w:b w:val="0"/>
          <w:bCs w:val="0"/>
        </w:rPr>
        <w:t xml:space="preserve"> </w:t>
      </w:r>
      <w:r w:rsidR="007B0550">
        <w:rPr>
          <w:rStyle w:val="Strong"/>
          <w:rFonts w:asciiTheme="minorHAnsi" w:hAnsiTheme="minorHAnsi" w:cstheme="minorHAnsi"/>
          <w:b w:val="0"/>
          <w:bCs w:val="0"/>
        </w:rPr>
        <w:t>O</w:t>
      </w:r>
      <w:r w:rsidR="007B0550" w:rsidRPr="007B0550">
        <w:rPr>
          <w:rStyle w:val="Strong"/>
          <w:rFonts w:asciiTheme="minorHAnsi" w:hAnsiTheme="minorHAnsi" w:cstheme="minorHAnsi"/>
          <w:b w:val="0"/>
          <w:bCs w:val="0"/>
        </w:rPr>
        <w:t>mnibus.</w:t>
      </w:r>
    </w:p>
    <w:p w14:paraId="520F8CC6" w14:textId="77777777" w:rsidR="007B0550" w:rsidRPr="00C36A0F" w:rsidRDefault="007B0550" w:rsidP="00C36A0F">
      <w:pPr>
        <w:rPr>
          <w:rStyle w:val="Strong"/>
          <w:rFonts w:asciiTheme="minorHAnsi" w:hAnsiTheme="minorHAnsi" w:cstheme="minorHAnsi"/>
          <w:b w:val="0"/>
          <w:bCs w:val="0"/>
        </w:rPr>
      </w:pPr>
    </w:p>
    <w:p w14:paraId="62580BA9" w14:textId="6A50A20D" w:rsidR="00C36A0F" w:rsidRPr="00C36A0F" w:rsidRDefault="00C36A0F" w:rsidP="00C36A0F">
      <w:pPr>
        <w:rPr>
          <w:rStyle w:val="Strong"/>
          <w:rFonts w:asciiTheme="minorHAnsi" w:hAnsiTheme="minorHAnsi" w:cstheme="minorHAnsi"/>
          <w:b w:val="0"/>
          <w:bCs w:val="0"/>
        </w:rPr>
      </w:pPr>
      <w:r w:rsidRPr="007B0550">
        <w:rPr>
          <w:rStyle w:val="Strong"/>
          <w:rFonts w:asciiTheme="minorHAnsi" w:hAnsiTheme="minorHAnsi" w:cstheme="minorHAnsi"/>
          <w:b w:val="0"/>
          <w:bCs w:val="0"/>
          <w:i/>
          <w:iCs/>
        </w:rPr>
        <w:lastRenderedPageBreak/>
        <w:t>Unités d'actions restreintes</w:t>
      </w:r>
      <w:r w:rsidRPr="00C36A0F">
        <w:rPr>
          <w:rStyle w:val="Strong"/>
          <w:rFonts w:asciiTheme="minorHAnsi" w:hAnsiTheme="minorHAnsi" w:cstheme="minorHAnsi"/>
          <w:b w:val="0"/>
          <w:bCs w:val="0"/>
        </w:rPr>
        <w:t xml:space="preserve"> : </w:t>
      </w:r>
      <w:r w:rsidR="007B0550" w:rsidRPr="007B0550">
        <w:rPr>
          <w:rStyle w:val="Strong"/>
          <w:rFonts w:asciiTheme="minorHAnsi" w:hAnsiTheme="minorHAnsi" w:cstheme="minorHAnsi"/>
          <w:b w:val="0"/>
          <w:bCs w:val="0"/>
        </w:rPr>
        <w:t xml:space="preserve">un total de 1 302 000 UAI </w:t>
      </w:r>
      <w:r w:rsidR="003F4F86">
        <w:rPr>
          <w:rStyle w:val="Strong"/>
          <w:rFonts w:asciiTheme="minorHAnsi" w:hAnsiTheme="minorHAnsi" w:cstheme="minorHAnsi"/>
          <w:b w:val="0"/>
          <w:bCs w:val="0"/>
        </w:rPr>
        <w:t>a</w:t>
      </w:r>
      <w:r w:rsidR="007B0550" w:rsidRPr="007B0550">
        <w:rPr>
          <w:rStyle w:val="Strong"/>
          <w:rFonts w:asciiTheme="minorHAnsi" w:hAnsiTheme="minorHAnsi" w:cstheme="minorHAnsi"/>
          <w:b w:val="0"/>
          <w:bCs w:val="0"/>
        </w:rPr>
        <w:t xml:space="preserve"> été émis aux dirigeants de la Société. Les UAR sont acquises sur une période de 2 ans par tranches de 25 % tous les 6 mois et peuvent être réglées après 3 ans. Le nombre d'UAR octroyées aux dirigeants de la Société a été calculé en fonction de la rémunération à verser, tel que recommandé par le </w:t>
      </w:r>
      <w:r w:rsidR="00091156">
        <w:rPr>
          <w:rStyle w:val="Strong"/>
          <w:rFonts w:asciiTheme="minorHAnsi" w:hAnsiTheme="minorHAnsi" w:cstheme="minorHAnsi"/>
          <w:b w:val="0"/>
          <w:bCs w:val="0"/>
        </w:rPr>
        <w:t>C</w:t>
      </w:r>
      <w:r w:rsidR="007B0550" w:rsidRPr="007B0550">
        <w:rPr>
          <w:rStyle w:val="Strong"/>
          <w:rFonts w:asciiTheme="minorHAnsi" w:hAnsiTheme="minorHAnsi" w:cstheme="minorHAnsi"/>
          <w:b w:val="0"/>
          <w:bCs w:val="0"/>
        </w:rPr>
        <w:t xml:space="preserve">omité, et en utilisant un VWAP de 10 jours des actions </w:t>
      </w:r>
      <w:r w:rsidR="007B0550">
        <w:rPr>
          <w:rStyle w:val="Strong"/>
          <w:rFonts w:asciiTheme="minorHAnsi" w:hAnsiTheme="minorHAnsi" w:cstheme="minorHAnsi"/>
          <w:b w:val="0"/>
          <w:bCs w:val="0"/>
        </w:rPr>
        <w:t>au</w:t>
      </w:r>
      <w:r w:rsidR="007B0550" w:rsidRPr="007B0550">
        <w:rPr>
          <w:rStyle w:val="Strong"/>
          <w:rFonts w:asciiTheme="minorHAnsi" w:hAnsiTheme="minorHAnsi" w:cstheme="minorHAnsi"/>
          <w:b w:val="0"/>
          <w:bCs w:val="0"/>
        </w:rPr>
        <w:t xml:space="preserve"> TSXV </w:t>
      </w:r>
      <w:r w:rsidR="00091156" w:rsidRPr="007B0550">
        <w:rPr>
          <w:rStyle w:val="Strong"/>
          <w:rFonts w:asciiTheme="minorHAnsi" w:hAnsiTheme="minorHAnsi" w:cstheme="minorHAnsi"/>
          <w:b w:val="0"/>
          <w:bCs w:val="0"/>
        </w:rPr>
        <w:t xml:space="preserve">pour calculer la valeur, le tout tel que prévu dans le </w:t>
      </w:r>
      <w:r w:rsidR="00091156">
        <w:rPr>
          <w:rStyle w:val="Strong"/>
          <w:rFonts w:asciiTheme="minorHAnsi" w:hAnsiTheme="minorHAnsi" w:cstheme="minorHAnsi"/>
          <w:b w:val="0"/>
          <w:bCs w:val="0"/>
        </w:rPr>
        <w:t>Régime</w:t>
      </w:r>
      <w:r w:rsidR="00091156" w:rsidRPr="007B0550">
        <w:rPr>
          <w:rStyle w:val="Strong"/>
          <w:rFonts w:asciiTheme="minorHAnsi" w:hAnsiTheme="minorHAnsi" w:cstheme="minorHAnsi"/>
          <w:b w:val="0"/>
          <w:bCs w:val="0"/>
        </w:rPr>
        <w:t xml:space="preserve"> </w:t>
      </w:r>
      <w:r w:rsidR="00091156">
        <w:rPr>
          <w:rStyle w:val="Strong"/>
          <w:rFonts w:asciiTheme="minorHAnsi" w:hAnsiTheme="minorHAnsi" w:cstheme="minorHAnsi"/>
          <w:b w:val="0"/>
          <w:bCs w:val="0"/>
        </w:rPr>
        <w:t>O</w:t>
      </w:r>
      <w:r w:rsidR="00091156" w:rsidRPr="007B0550">
        <w:rPr>
          <w:rStyle w:val="Strong"/>
          <w:rFonts w:asciiTheme="minorHAnsi" w:hAnsiTheme="minorHAnsi" w:cstheme="minorHAnsi"/>
          <w:b w:val="0"/>
          <w:bCs w:val="0"/>
        </w:rPr>
        <w:t>mnibus.</w:t>
      </w:r>
    </w:p>
    <w:p w14:paraId="62405A10" w14:textId="77777777" w:rsidR="004E7763" w:rsidRDefault="004E7763" w:rsidP="004E7763">
      <w:pPr>
        <w:rPr>
          <w:rFonts w:eastAsiaTheme="minorHAnsi"/>
        </w:rPr>
      </w:pPr>
    </w:p>
    <w:p w14:paraId="74CA1630" w14:textId="77777777" w:rsidR="00E27D12" w:rsidRPr="00717544" w:rsidRDefault="00E27D12" w:rsidP="00FA7E70">
      <w:pPr>
        <w:pStyle w:val="NormalWeb"/>
        <w:shd w:val="clear" w:color="auto" w:fill="FFFFFF"/>
        <w:spacing w:before="0" w:beforeAutospacing="0" w:after="200" w:afterAutospacing="0" w:line="276" w:lineRule="auto"/>
        <w:jc w:val="both"/>
        <w:textAlignment w:val="center"/>
        <w:rPr>
          <w:rFonts w:ascii="Calibri" w:eastAsiaTheme="minorHAnsi" w:hAnsi="Calibri" w:cs="Calibri"/>
          <w:b/>
          <w:bCs/>
          <w:lang w:val="fr-CA" w:eastAsia="en-US"/>
        </w:rPr>
      </w:pPr>
      <w:r w:rsidRPr="00717544">
        <w:rPr>
          <w:rFonts w:ascii="Calibri" w:eastAsiaTheme="minorHAnsi" w:hAnsi="Calibri" w:cs="Calibri"/>
          <w:b/>
          <w:bCs/>
          <w:lang w:val="fr-CA" w:eastAsia="en-US"/>
        </w:rPr>
        <w:t>Prolongation de bons de souscriptions</w:t>
      </w:r>
    </w:p>
    <w:p w14:paraId="07C218DE" w14:textId="13347343" w:rsidR="00E27D12" w:rsidRPr="00717544" w:rsidRDefault="007B0550" w:rsidP="00FA7E70">
      <w:pPr>
        <w:spacing w:after="300" w:line="240" w:lineRule="auto"/>
        <w:rPr>
          <w:color w:val="000000"/>
        </w:rPr>
      </w:pPr>
      <w:r w:rsidRPr="007B0550">
        <w:rPr>
          <w:rFonts w:eastAsia="Calibri"/>
          <w:color w:val="000000"/>
        </w:rPr>
        <w:t>De plus, Géoméga a déposé une demande de prolongation de 2 ans de la date d'expiration de 704 028 bons de souscription d'actions ordinaires selon le tableau ci-dessous, sous réserve de l'approbation finale de la Bourse de croissance TSX :</w:t>
      </w:r>
    </w:p>
    <w:tbl>
      <w:tblPr>
        <w:tblW w:w="930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33"/>
        <w:gridCol w:w="2318"/>
        <w:gridCol w:w="2318"/>
        <w:gridCol w:w="2333"/>
      </w:tblGrid>
      <w:tr w:rsidR="00E27D12" w:rsidRPr="0060718D" w14:paraId="58091964" w14:textId="77777777" w:rsidTr="00C24699">
        <w:trPr>
          <w:trHeight w:val="488"/>
          <w:tblCellSpacing w:w="15" w:type="dxa"/>
        </w:trPr>
        <w:tc>
          <w:tcPr>
            <w:tcW w:w="1701" w:type="dxa"/>
            <w:vAlign w:val="center"/>
            <w:hideMark/>
          </w:tcPr>
          <w:p w14:paraId="3C409FA4" w14:textId="77777777" w:rsidR="00E27D12" w:rsidRDefault="00E27D12" w:rsidP="006A4688">
            <w:pPr>
              <w:spacing w:line="240" w:lineRule="auto"/>
              <w:jc w:val="center"/>
              <w:rPr>
                <w:rFonts w:eastAsia="Calibri"/>
                <w:b/>
                <w:bCs/>
                <w:color w:val="000000"/>
              </w:rPr>
            </w:pPr>
            <w:r w:rsidRPr="00717544">
              <w:rPr>
                <w:rFonts w:eastAsia="Calibri"/>
                <w:b/>
                <w:bCs/>
                <w:color w:val="000000"/>
              </w:rPr>
              <w:t>Nombre de</w:t>
            </w:r>
          </w:p>
          <w:p w14:paraId="163929C0" w14:textId="77777777" w:rsidR="00E27D12" w:rsidRPr="0060718D" w:rsidRDefault="00E27D12" w:rsidP="006A4688">
            <w:pPr>
              <w:spacing w:line="240" w:lineRule="auto"/>
              <w:jc w:val="center"/>
              <w:rPr>
                <w:rFonts w:eastAsia="Calibri"/>
                <w:b/>
                <w:bCs/>
                <w:color w:val="000000"/>
              </w:rPr>
            </w:pPr>
            <w:proofErr w:type="gramStart"/>
            <w:r w:rsidRPr="00717544">
              <w:rPr>
                <w:rFonts w:eastAsia="Calibri"/>
                <w:b/>
                <w:bCs/>
                <w:color w:val="000000"/>
              </w:rPr>
              <w:t>bons</w:t>
            </w:r>
            <w:proofErr w:type="gramEnd"/>
            <w:r w:rsidRPr="00717544">
              <w:rPr>
                <w:rFonts w:eastAsia="Calibri"/>
                <w:b/>
                <w:bCs/>
                <w:color w:val="000000"/>
              </w:rPr>
              <w:t xml:space="preserve"> de </w:t>
            </w:r>
            <w:proofErr w:type="spellStart"/>
            <w:r w:rsidRPr="00717544">
              <w:rPr>
                <w:rFonts w:eastAsia="Calibri"/>
                <w:b/>
                <w:bCs/>
                <w:color w:val="000000"/>
              </w:rPr>
              <w:t>so</w:t>
            </w:r>
            <w:r>
              <w:rPr>
                <w:rFonts w:eastAsia="Calibri"/>
                <w:b/>
                <w:bCs/>
                <w:color w:val="000000"/>
              </w:rPr>
              <w:t>ucription</w:t>
            </w:r>
            <w:proofErr w:type="spellEnd"/>
          </w:p>
        </w:tc>
        <w:tc>
          <w:tcPr>
            <w:tcW w:w="1701" w:type="dxa"/>
            <w:vAlign w:val="center"/>
            <w:hideMark/>
          </w:tcPr>
          <w:p w14:paraId="2A03760E" w14:textId="77777777" w:rsidR="00E27D12" w:rsidRDefault="00E27D12" w:rsidP="006A4688">
            <w:pPr>
              <w:spacing w:line="240" w:lineRule="auto"/>
              <w:jc w:val="center"/>
              <w:rPr>
                <w:rFonts w:eastAsia="Calibri"/>
                <w:b/>
                <w:bCs/>
                <w:color w:val="000000"/>
                <w:lang w:val="en-CA"/>
              </w:rPr>
            </w:pPr>
            <w:r>
              <w:rPr>
                <w:rFonts w:eastAsia="Calibri"/>
                <w:b/>
                <w:bCs/>
                <w:color w:val="000000"/>
                <w:lang w:val="en-CA"/>
              </w:rPr>
              <w:t xml:space="preserve">Date </w:t>
            </w:r>
            <w:proofErr w:type="spellStart"/>
            <w:r>
              <w:rPr>
                <w:rFonts w:eastAsia="Calibri"/>
                <w:b/>
                <w:bCs/>
                <w:color w:val="000000"/>
                <w:lang w:val="en-CA"/>
              </w:rPr>
              <w:t>d’expiration</w:t>
            </w:r>
            <w:proofErr w:type="spellEnd"/>
          </w:p>
          <w:p w14:paraId="61D4BF9D" w14:textId="77777777" w:rsidR="00E27D12" w:rsidRPr="0060718D" w:rsidRDefault="00E27D12" w:rsidP="006A4688">
            <w:pPr>
              <w:spacing w:line="240" w:lineRule="auto"/>
              <w:jc w:val="center"/>
              <w:rPr>
                <w:rFonts w:eastAsia="Calibri"/>
                <w:b/>
                <w:bCs/>
                <w:color w:val="000000"/>
                <w:lang w:val="en-CA"/>
              </w:rPr>
            </w:pPr>
            <w:proofErr w:type="spellStart"/>
            <w:r>
              <w:rPr>
                <w:rFonts w:eastAsia="Calibri"/>
                <w:b/>
                <w:bCs/>
                <w:color w:val="000000"/>
                <w:lang w:val="en-CA"/>
              </w:rPr>
              <w:t>actuelle</w:t>
            </w:r>
            <w:proofErr w:type="spellEnd"/>
          </w:p>
        </w:tc>
        <w:tc>
          <w:tcPr>
            <w:tcW w:w="1701" w:type="dxa"/>
            <w:vAlign w:val="center"/>
            <w:hideMark/>
          </w:tcPr>
          <w:p w14:paraId="0DB27B3D" w14:textId="77777777" w:rsidR="00C24699" w:rsidRDefault="00E27D12" w:rsidP="006A4688">
            <w:pPr>
              <w:spacing w:line="240" w:lineRule="auto"/>
              <w:jc w:val="center"/>
              <w:rPr>
                <w:rFonts w:eastAsia="Calibri"/>
                <w:b/>
                <w:bCs/>
                <w:color w:val="000000"/>
                <w:lang w:val="en-CA"/>
              </w:rPr>
            </w:pPr>
            <w:r>
              <w:rPr>
                <w:rFonts w:eastAsia="Calibri"/>
                <w:b/>
                <w:bCs/>
                <w:color w:val="000000"/>
                <w:lang w:val="en-CA"/>
              </w:rPr>
              <w:t xml:space="preserve">Nouvelle date </w:t>
            </w:r>
          </w:p>
          <w:p w14:paraId="39C7E3A5" w14:textId="68011C95" w:rsidR="00E27D12" w:rsidRPr="0060718D" w:rsidRDefault="00E27D12" w:rsidP="006A4688">
            <w:pPr>
              <w:spacing w:line="240" w:lineRule="auto"/>
              <w:jc w:val="center"/>
              <w:rPr>
                <w:rFonts w:eastAsia="Calibri"/>
                <w:b/>
                <w:bCs/>
                <w:color w:val="000000"/>
                <w:lang w:val="en-CA"/>
              </w:rPr>
            </w:pPr>
            <w:proofErr w:type="spellStart"/>
            <w:r>
              <w:rPr>
                <w:rFonts w:eastAsia="Calibri"/>
                <w:b/>
                <w:bCs/>
                <w:color w:val="000000"/>
                <w:lang w:val="en-CA"/>
              </w:rPr>
              <w:t>d’expiration</w:t>
            </w:r>
            <w:proofErr w:type="spellEnd"/>
          </w:p>
        </w:tc>
        <w:tc>
          <w:tcPr>
            <w:tcW w:w="1701" w:type="dxa"/>
            <w:vAlign w:val="center"/>
            <w:hideMark/>
          </w:tcPr>
          <w:p w14:paraId="44750336" w14:textId="77777777" w:rsidR="00E27D12" w:rsidRPr="0060718D" w:rsidRDefault="00E27D12" w:rsidP="006A4688">
            <w:pPr>
              <w:spacing w:line="240" w:lineRule="auto"/>
              <w:jc w:val="center"/>
              <w:rPr>
                <w:rFonts w:eastAsia="Calibri"/>
                <w:b/>
                <w:bCs/>
                <w:color w:val="000000"/>
                <w:lang w:val="en-CA"/>
              </w:rPr>
            </w:pPr>
            <w:r>
              <w:rPr>
                <w:rFonts w:eastAsia="Calibri"/>
                <w:b/>
                <w:bCs/>
                <w:color w:val="000000"/>
                <w:lang w:val="en-CA"/>
              </w:rPr>
              <w:t xml:space="preserve">Prix </w:t>
            </w:r>
            <w:proofErr w:type="spellStart"/>
            <w:r>
              <w:rPr>
                <w:rFonts w:eastAsia="Calibri"/>
                <w:b/>
                <w:bCs/>
                <w:color w:val="000000"/>
                <w:lang w:val="en-CA"/>
              </w:rPr>
              <w:t>d’exercice</w:t>
            </w:r>
            <w:proofErr w:type="spellEnd"/>
          </w:p>
        </w:tc>
      </w:tr>
      <w:tr w:rsidR="00E27D12" w:rsidRPr="0060718D" w14:paraId="4D023037" w14:textId="77777777" w:rsidTr="00C24699">
        <w:trPr>
          <w:trHeight w:val="499"/>
          <w:tblCellSpacing w:w="15" w:type="dxa"/>
        </w:trPr>
        <w:tc>
          <w:tcPr>
            <w:tcW w:w="1701" w:type="dxa"/>
            <w:vAlign w:val="center"/>
            <w:hideMark/>
          </w:tcPr>
          <w:p w14:paraId="701FE4F2" w14:textId="687731F6" w:rsidR="00E27D12" w:rsidRPr="0060718D" w:rsidRDefault="00E27D12" w:rsidP="006A4688">
            <w:pPr>
              <w:spacing w:before="100" w:beforeAutospacing="1" w:after="120" w:line="240" w:lineRule="auto"/>
              <w:jc w:val="center"/>
              <w:rPr>
                <w:rFonts w:eastAsia="Calibri"/>
                <w:color w:val="000000"/>
                <w:lang w:val="en-CA"/>
              </w:rPr>
            </w:pPr>
            <w:r>
              <w:rPr>
                <w:rFonts w:eastAsia="Calibri"/>
                <w:color w:val="000000"/>
                <w:lang w:val="en-CA"/>
              </w:rPr>
              <w:t>704 028</w:t>
            </w:r>
          </w:p>
        </w:tc>
        <w:tc>
          <w:tcPr>
            <w:tcW w:w="1701" w:type="dxa"/>
            <w:vAlign w:val="center"/>
            <w:hideMark/>
          </w:tcPr>
          <w:p w14:paraId="129F0D08" w14:textId="3445F416" w:rsidR="00E27D12" w:rsidRPr="0060718D" w:rsidRDefault="00E27D12" w:rsidP="006A4688">
            <w:pPr>
              <w:spacing w:before="100" w:beforeAutospacing="1" w:after="120" w:line="240" w:lineRule="auto"/>
              <w:jc w:val="center"/>
              <w:rPr>
                <w:rFonts w:eastAsia="Calibri"/>
                <w:color w:val="000000"/>
                <w:lang w:val="en-CA"/>
              </w:rPr>
            </w:pPr>
            <w:r>
              <w:rPr>
                <w:rFonts w:eastAsia="Calibri"/>
                <w:color w:val="000000"/>
                <w:lang w:val="en-CA"/>
              </w:rPr>
              <w:t xml:space="preserve">8 </w:t>
            </w:r>
            <w:proofErr w:type="spellStart"/>
            <w:r>
              <w:rPr>
                <w:rFonts w:eastAsia="Calibri"/>
                <w:color w:val="000000"/>
                <w:lang w:val="en-CA"/>
              </w:rPr>
              <w:t>février</w:t>
            </w:r>
            <w:proofErr w:type="spellEnd"/>
            <w:r>
              <w:rPr>
                <w:rFonts w:eastAsia="Calibri"/>
                <w:color w:val="000000"/>
                <w:lang w:val="en-CA"/>
              </w:rPr>
              <w:t xml:space="preserve"> 2024</w:t>
            </w:r>
          </w:p>
        </w:tc>
        <w:tc>
          <w:tcPr>
            <w:tcW w:w="1701" w:type="dxa"/>
            <w:vAlign w:val="center"/>
            <w:hideMark/>
          </w:tcPr>
          <w:p w14:paraId="7AC39BC8" w14:textId="3FB8B434" w:rsidR="00E27D12" w:rsidRPr="0060718D" w:rsidRDefault="00E27D12" w:rsidP="006A4688">
            <w:pPr>
              <w:spacing w:before="100" w:beforeAutospacing="1" w:after="120" w:line="240" w:lineRule="auto"/>
              <w:jc w:val="center"/>
              <w:rPr>
                <w:rFonts w:eastAsia="Calibri"/>
                <w:color w:val="000000"/>
                <w:lang w:val="en-CA"/>
              </w:rPr>
            </w:pPr>
            <w:r>
              <w:rPr>
                <w:rFonts w:eastAsia="Calibri"/>
                <w:color w:val="000000"/>
                <w:lang w:val="en-CA"/>
              </w:rPr>
              <w:t xml:space="preserve">8 </w:t>
            </w:r>
            <w:proofErr w:type="spellStart"/>
            <w:r>
              <w:rPr>
                <w:rFonts w:eastAsia="Calibri"/>
                <w:color w:val="000000"/>
                <w:lang w:val="en-CA"/>
              </w:rPr>
              <w:t>février</w:t>
            </w:r>
            <w:proofErr w:type="spellEnd"/>
            <w:r>
              <w:rPr>
                <w:rFonts w:eastAsia="Calibri"/>
                <w:color w:val="000000"/>
                <w:lang w:val="en-CA"/>
              </w:rPr>
              <w:t xml:space="preserve"> 2026</w:t>
            </w:r>
          </w:p>
        </w:tc>
        <w:tc>
          <w:tcPr>
            <w:tcW w:w="1701" w:type="dxa"/>
            <w:vAlign w:val="center"/>
            <w:hideMark/>
          </w:tcPr>
          <w:p w14:paraId="3D3C4A7B" w14:textId="790100DF" w:rsidR="00E27D12" w:rsidRPr="0060718D" w:rsidRDefault="00E27D12" w:rsidP="006A4688">
            <w:pPr>
              <w:spacing w:before="100" w:beforeAutospacing="1" w:after="120" w:line="240" w:lineRule="auto"/>
              <w:jc w:val="center"/>
              <w:rPr>
                <w:rFonts w:eastAsia="Calibri"/>
                <w:color w:val="000000"/>
                <w:lang w:val="en-CA"/>
              </w:rPr>
            </w:pPr>
            <w:r w:rsidRPr="0060718D">
              <w:rPr>
                <w:rFonts w:eastAsia="Calibri"/>
                <w:color w:val="000000"/>
                <w:lang w:val="en-CA"/>
              </w:rPr>
              <w:t>0</w:t>
            </w:r>
            <w:r>
              <w:rPr>
                <w:rFonts w:eastAsia="Calibri"/>
                <w:color w:val="000000"/>
                <w:lang w:val="en-CA"/>
              </w:rPr>
              <w:t>,40 $</w:t>
            </w:r>
          </w:p>
        </w:tc>
      </w:tr>
    </w:tbl>
    <w:p w14:paraId="68009E85" w14:textId="77777777" w:rsidR="00E27D12" w:rsidRDefault="00E27D12" w:rsidP="00E27D12">
      <w:pPr>
        <w:pStyle w:val="NormalWeb"/>
        <w:shd w:val="clear" w:color="auto" w:fill="FFFFFF"/>
        <w:spacing w:before="0" w:beforeAutospacing="0" w:after="0" w:afterAutospacing="0" w:line="276" w:lineRule="auto"/>
        <w:jc w:val="both"/>
        <w:textAlignment w:val="center"/>
        <w:rPr>
          <w:rFonts w:ascii="Calibri" w:eastAsia="Calibri" w:hAnsi="Calibri" w:cs="Calibri"/>
          <w:color w:val="000000"/>
          <w:lang w:val="fr-CA" w:eastAsia="en-US"/>
        </w:rPr>
      </w:pPr>
    </w:p>
    <w:p w14:paraId="7ACE4DC6" w14:textId="43B24510" w:rsidR="00E27D12" w:rsidRDefault="007B0550" w:rsidP="00E27D12">
      <w:pPr>
        <w:pStyle w:val="NormalWeb"/>
        <w:shd w:val="clear" w:color="auto" w:fill="FFFFFF"/>
        <w:spacing w:before="0" w:beforeAutospacing="0" w:after="0" w:afterAutospacing="0" w:line="276" w:lineRule="auto"/>
        <w:jc w:val="both"/>
        <w:textAlignment w:val="center"/>
        <w:rPr>
          <w:rFonts w:ascii="Calibri" w:eastAsia="Calibri" w:hAnsi="Calibri" w:cs="Calibri"/>
          <w:color w:val="000000"/>
          <w:lang w:val="fr-CA" w:eastAsia="en-US"/>
        </w:rPr>
      </w:pPr>
      <w:r w:rsidRPr="007B0550">
        <w:rPr>
          <w:rFonts w:ascii="Calibri" w:eastAsia="Calibri" w:hAnsi="Calibri" w:cs="Calibri"/>
          <w:color w:val="000000"/>
          <w:lang w:val="fr-CA" w:eastAsia="en-US"/>
        </w:rPr>
        <w:t xml:space="preserve">Ces bons de souscription ont été émis dans le cadre du placement privé, clôturé le 8 février 2022, de 1 408 055 unités </w:t>
      </w:r>
      <w:r w:rsidR="00E27D12" w:rsidRPr="00717544">
        <w:rPr>
          <w:rFonts w:ascii="Calibri" w:eastAsia="Calibri" w:hAnsi="Calibri" w:cs="Calibri"/>
          <w:color w:val="000000"/>
          <w:lang w:val="fr-CA" w:eastAsia="en-US"/>
        </w:rPr>
        <w:t xml:space="preserve">(voir </w:t>
      </w:r>
      <w:hyperlink r:id="rId12" w:history="1">
        <w:r w:rsidR="00E27D12" w:rsidRPr="00E27D12">
          <w:rPr>
            <w:rStyle w:val="Hyperlink"/>
            <w:rFonts w:ascii="Calibri" w:eastAsia="Calibri" w:hAnsi="Calibri" w:cs="Calibri"/>
            <w:lang w:val="fr-CA" w:eastAsia="en-US"/>
          </w:rPr>
          <w:t>communiqué de presse du 9 février 2022</w:t>
        </w:r>
      </w:hyperlink>
      <w:r w:rsidR="00E27D12" w:rsidRPr="00717544">
        <w:rPr>
          <w:rFonts w:ascii="Calibri" w:eastAsia="Calibri" w:hAnsi="Calibri" w:cs="Calibri"/>
          <w:color w:val="000000"/>
          <w:lang w:val="fr-CA" w:eastAsia="en-US"/>
        </w:rPr>
        <w:t>). Il n’y a aucune autre modification proposée aux termes des bons de souscription.</w:t>
      </w:r>
    </w:p>
    <w:p w14:paraId="2F5BEE1A" w14:textId="77777777" w:rsidR="00E27D12" w:rsidRPr="00717544" w:rsidRDefault="00E27D12" w:rsidP="004E7763">
      <w:pPr>
        <w:rPr>
          <w:rFonts w:eastAsiaTheme="minorHAnsi"/>
        </w:rPr>
      </w:pPr>
    </w:p>
    <w:p w14:paraId="495D7632" w14:textId="77777777" w:rsidR="00513B6C" w:rsidRPr="00F07BD7" w:rsidRDefault="00513B6C" w:rsidP="00513B6C">
      <w:pPr>
        <w:autoSpaceDE w:val="0"/>
        <w:autoSpaceDN w:val="0"/>
        <w:adjustRightInd w:val="0"/>
        <w:spacing w:line="240" w:lineRule="auto"/>
        <w:jc w:val="left"/>
        <w:rPr>
          <w:b/>
          <w:bCs/>
        </w:rPr>
      </w:pPr>
      <w:r w:rsidRPr="00F07BD7">
        <w:rPr>
          <w:b/>
          <w:bCs/>
        </w:rPr>
        <w:t xml:space="preserve">À propos de </w:t>
      </w:r>
      <w:r w:rsidRPr="00F07BD7">
        <w:rPr>
          <w:b/>
          <w:bCs/>
          <w:color w:val="000000"/>
        </w:rPr>
        <w:t>Géoméga</w:t>
      </w:r>
      <w:r w:rsidRPr="00F07BD7">
        <w:rPr>
          <w:b/>
          <w:bCs/>
        </w:rPr>
        <w:t xml:space="preserve"> (</w:t>
      </w:r>
      <w:hyperlink r:id="rId13" w:history="1">
        <w:r w:rsidRPr="008C3AC0">
          <w:rPr>
            <w:rStyle w:val="Hyperlink"/>
            <w:b/>
            <w:bCs/>
          </w:rPr>
          <w:t>www.Geomega.ca</w:t>
        </w:r>
      </w:hyperlink>
      <w:r w:rsidRPr="00F07BD7">
        <w:rPr>
          <w:b/>
          <w:bCs/>
        </w:rPr>
        <w:t>)</w:t>
      </w:r>
    </w:p>
    <w:p w14:paraId="53125619" w14:textId="77777777" w:rsidR="00717544" w:rsidRPr="00E146FB" w:rsidRDefault="00717544" w:rsidP="00717544">
      <w:pPr>
        <w:spacing w:line="240" w:lineRule="auto"/>
        <w:rPr>
          <w:rFonts w:asciiTheme="minorHAnsi" w:hAnsiTheme="minorHAnsi" w:cstheme="minorHAnsi"/>
          <w:color w:val="000000"/>
          <w:shd w:val="clear" w:color="auto" w:fill="FFFFFF"/>
        </w:rPr>
      </w:pPr>
      <w:r w:rsidRPr="00E146FB">
        <w:rPr>
          <w:rFonts w:asciiTheme="minorHAnsi" w:hAnsiTheme="minorHAnsi" w:cstheme="minorHAnsi"/>
          <w:color w:val="000000"/>
        </w:rPr>
        <w:t>Géoméga</w:t>
      </w:r>
      <w:r w:rsidRPr="00E146FB">
        <w:rPr>
          <w:rFonts w:asciiTheme="minorHAnsi" w:hAnsiTheme="minorHAnsi" w:cstheme="minorHAnsi"/>
          <w:color w:val="000000"/>
          <w:shd w:val="clear" w:color="auto" w:fill="FFFFFF"/>
        </w:rPr>
        <w:t xml:space="preserve"> développe des technologies innovantes pour l'extraction et la séparation des éléments des terres rares et d'autres métaux critiques essentiels pour un avenir durable. Axés sur les énergies renouvelables, l'électrification des véhicules, l'automatisation et la réduction de la consommation d'énergie, les aimants de terres rares ou néo-aimants (</w:t>
      </w:r>
      <w:proofErr w:type="spellStart"/>
      <w:r w:rsidRPr="00E146FB">
        <w:rPr>
          <w:rFonts w:asciiTheme="minorHAnsi" w:hAnsiTheme="minorHAnsi" w:cstheme="minorHAnsi"/>
          <w:color w:val="000000"/>
          <w:shd w:val="clear" w:color="auto" w:fill="FFFFFF"/>
        </w:rPr>
        <w:t>NdFeB</w:t>
      </w:r>
      <w:proofErr w:type="spellEnd"/>
      <w:r w:rsidRPr="00E146FB">
        <w:rPr>
          <w:rFonts w:asciiTheme="minorHAnsi" w:hAnsiTheme="minorHAnsi" w:cstheme="minorHAnsi"/>
          <w:color w:val="000000"/>
          <w:shd w:val="clear" w:color="auto" w:fill="FFFFFF"/>
        </w:rPr>
        <w:t xml:space="preserve">) sont au centre de toutes ces technologies. La stratégie de </w:t>
      </w:r>
      <w:r w:rsidRPr="00E146FB">
        <w:rPr>
          <w:rFonts w:asciiTheme="minorHAnsi" w:hAnsiTheme="minorHAnsi" w:cstheme="minorHAnsi"/>
          <w:color w:val="000000"/>
        </w:rPr>
        <w:t>Géoméga</w:t>
      </w:r>
      <w:r w:rsidRPr="00E146FB">
        <w:rPr>
          <w:rFonts w:asciiTheme="minorHAnsi" w:hAnsiTheme="minorHAnsi" w:cstheme="minorHAnsi"/>
          <w:color w:val="000000"/>
          <w:shd w:val="clear" w:color="auto" w:fill="FFFFFF"/>
        </w:rPr>
        <w:t xml:space="preserve"> consiste à réduire progressivement les risques liés à sa technologie innovante et à générer des flux de trésorerie et un retour de valeur aux actionnaires tout en travaillant directement avec les principaux acteurs de ces industries pour recycler les aimants qui alimentent toutes ces technologies.</w:t>
      </w:r>
    </w:p>
    <w:p w14:paraId="017DCCA9" w14:textId="77777777" w:rsidR="00717544" w:rsidRPr="00E146FB" w:rsidRDefault="00717544" w:rsidP="00717544">
      <w:pPr>
        <w:spacing w:line="240" w:lineRule="auto"/>
        <w:rPr>
          <w:rFonts w:asciiTheme="minorHAnsi" w:hAnsiTheme="minorHAnsi" w:cstheme="minorHAnsi"/>
          <w:color w:val="000000"/>
          <w:shd w:val="clear" w:color="auto" w:fill="FFFFFF"/>
        </w:rPr>
      </w:pPr>
    </w:p>
    <w:p w14:paraId="52211F20" w14:textId="77777777" w:rsidR="00717544" w:rsidRPr="00E146FB" w:rsidRDefault="00717544" w:rsidP="00717544">
      <w:pPr>
        <w:spacing w:line="240" w:lineRule="auto"/>
        <w:rPr>
          <w:rFonts w:asciiTheme="minorHAnsi" w:hAnsiTheme="minorHAnsi" w:cstheme="minorHAnsi"/>
          <w:color w:val="000000"/>
          <w:shd w:val="clear" w:color="auto" w:fill="FFFFFF"/>
        </w:rPr>
      </w:pPr>
      <w:r w:rsidRPr="00E146FB">
        <w:rPr>
          <w:rFonts w:asciiTheme="minorHAnsi" w:hAnsiTheme="minorHAnsi" w:cstheme="minorHAnsi"/>
          <w:color w:val="000000"/>
          <w:shd w:val="clear" w:color="auto" w:fill="FFFFFF"/>
        </w:rPr>
        <w:t xml:space="preserve">Alors que ses technologies sont démontrées à plus grande échelle, </w:t>
      </w:r>
      <w:r w:rsidRPr="00E146FB">
        <w:rPr>
          <w:rFonts w:asciiTheme="minorHAnsi" w:hAnsiTheme="minorHAnsi" w:cstheme="minorHAnsi"/>
          <w:color w:val="000000"/>
        </w:rPr>
        <w:t>Géoméga</w:t>
      </w:r>
      <w:r w:rsidRPr="00E146FB">
        <w:rPr>
          <w:rFonts w:asciiTheme="minorHAnsi" w:hAnsiTheme="minorHAnsi" w:cstheme="minorHAnsi"/>
          <w:color w:val="000000"/>
          <w:shd w:val="clear" w:color="auto" w:fill="FFFFFF"/>
        </w:rPr>
        <w:t xml:space="preserve"> s'est engagé à travailler avec des partenaires majeurs pour aider à extraire de la valeur des produits provenant de l’extraction minière, des résidus miniers et d'autres résidus industriels qui contiennent des terres rares et d'autres métaux critiques. Indépendamment du métal ou de la source, </w:t>
      </w:r>
      <w:r w:rsidRPr="00E146FB">
        <w:rPr>
          <w:rFonts w:asciiTheme="minorHAnsi" w:hAnsiTheme="minorHAnsi" w:cstheme="minorHAnsi"/>
          <w:color w:val="000000"/>
        </w:rPr>
        <w:t>Géoméga</w:t>
      </w:r>
      <w:r w:rsidRPr="00E146FB">
        <w:rPr>
          <w:rFonts w:asciiTheme="minorHAnsi" w:hAnsiTheme="minorHAnsi" w:cstheme="minorHAnsi"/>
          <w:color w:val="000000"/>
          <w:shd w:val="clear" w:color="auto" w:fill="FFFFFF"/>
        </w:rPr>
        <w:t xml:space="preserve"> adopte une approche cohérente pour réduire l'impact environnemental et contribuer à réduire les émissions de gaz à effet de serre en recyclant les principaux réactifs du processus.</w:t>
      </w:r>
    </w:p>
    <w:p w14:paraId="5BB3DD26" w14:textId="77777777" w:rsidR="00717544" w:rsidRPr="00E146FB" w:rsidRDefault="00717544" w:rsidP="00717544">
      <w:pPr>
        <w:spacing w:line="240" w:lineRule="auto"/>
        <w:rPr>
          <w:rFonts w:asciiTheme="minorHAnsi" w:hAnsiTheme="minorHAnsi" w:cstheme="minorHAnsi"/>
          <w:color w:val="000000"/>
          <w:shd w:val="clear" w:color="auto" w:fill="FFFFFF"/>
        </w:rPr>
      </w:pPr>
    </w:p>
    <w:p w14:paraId="1E37EDE6" w14:textId="77777777" w:rsidR="00717544" w:rsidRPr="00E146FB" w:rsidRDefault="00717544" w:rsidP="00717544">
      <w:pPr>
        <w:spacing w:line="240" w:lineRule="auto"/>
        <w:rPr>
          <w:rFonts w:asciiTheme="minorHAnsi" w:hAnsiTheme="minorHAnsi" w:cstheme="minorHAnsi"/>
          <w:color w:val="000000"/>
          <w:shd w:val="clear" w:color="auto" w:fill="FFFFFF"/>
        </w:rPr>
      </w:pPr>
      <w:r w:rsidRPr="00E146FB">
        <w:rPr>
          <w:rFonts w:asciiTheme="minorHAnsi" w:hAnsiTheme="minorHAnsi" w:cstheme="minorHAnsi"/>
          <w:color w:val="000000"/>
          <w:shd w:val="clear" w:color="auto" w:fill="FFFFFF"/>
        </w:rPr>
        <w:t xml:space="preserve">Le projet principal de </w:t>
      </w:r>
      <w:r w:rsidRPr="00E146FB">
        <w:rPr>
          <w:rFonts w:asciiTheme="minorHAnsi" w:hAnsiTheme="minorHAnsi" w:cstheme="minorHAnsi"/>
          <w:color w:val="000000"/>
        </w:rPr>
        <w:t>Géoméga</w:t>
      </w:r>
      <w:r w:rsidRPr="00E146FB">
        <w:rPr>
          <w:rFonts w:asciiTheme="minorHAnsi" w:hAnsiTheme="minorHAnsi" w:cstheme="minorHAnsi"/>
          <w:color w:val="000000"/>
          <w:shd w:val="clear" w:color="auto" w:fill="FFFFFF"/>
        </w:rPr>
        <w:t xml:space="preserve"> est basé sur la technologie ISR (</w:t>
      </w:r>
      <w:proofErr w:type="spellStart"/>
      <w:r w:rsidRPr="00E146FB">
        <w:rPr>
          <w:rFonts w:asciiTheme="minorHAnsi" w:hAnsiTheme="minorHAnsi" w:cstheme="minorHAnsi"/>
          <w:color w:val="000000"/>
          <w:shd w:val="clear" w:color="auto" w:fill="FFFFFF"/>
        </w:rPr>
        <w:t>Innord’s</w:t>
      </w:r>
      <w:proofErr w:type="spellEnd"/>
      <w:r w:rsidRPr="00E146FB">
        <w:rPr>
          <w:rFonts w:asciiTheme="minorHAnsi" w:hAnsiTheme="minorHAnsi" w:cstheme="minorHAnsi"/>
          <w:color w:val="000000"/>
          <w:shd w:val="clear" w:color="auto" w:fill="FFFFFF"/>
        </w:rPr>
        <w:t xml:space="preserve"> Separation of Rare </w:t>
      </w:r>
      <w:proofErr w:type="spellStart"/>
      <w:r w:rsidRPr="00E146FB">
        <w:rPr>
          <w:rFonts w:asciiTheme="minorHAnsi" w:hAnsiTheme="minorHAnsi" w:cstheme="minorHAnsi"/>
          <w:color w:val="000000"/>
          <w:shd w:val="clear" w:color="auto" w:fill="FFFFFF"/>
        </w:rPr>
        <w:t>Earths</w:t>
      </w:r>
      <w:proofErr w:type="spellEnd"/>
      <w:r w:rsidRPr="00E146FB">
        <w:rPr>
          <w:rFonts w:asciiTheme="minorHAnsi" w:hAnsiTheme="minorHAnsi" w:cstheme="minorHAnsi"/>
          <w:color w:val="000000"/>
          <w:shd w:val="clear" w:color="auto" w:fill="FFFFFF"/>
        </w:rPr>
        <w:t>), un moyen exclusif, peu coûteux et respectueux de l’environnement, d’exploiter un marché mondial de 1,5 milliard de dollars canadiens pour recycler les rebuts de production d’aimants et les aimants en fin de vie de manière rentable et sécuritaire.</w:t>
      </w:r>
    </w:p>
    <w:p w14:paraId="62AE4407" w14:textId="77777777" w:rsidR="00717544" w:rsidRPr="00E146FB" w:rsidRDefault="00717544" w:rsidP="00717544">
      <w:pPr>
        <w:spacing w:line="240" w:lineRule="auto"/>
        <w:rPr>
          <w:rFonts w:asciiTheme="minorHAnsi" w:hAnsiTheme="minorHAnsi" w:cstheme="minorHAnsi"/>
          <w:color w:val="000000"/>
          <w:sz w:val="22"/>
          <w:szCs w:val="22"/>
          <w:shd w:val="clear" w:color="auto" w:fill="FFFFFF"/>
        </w:rPr>
      </w:pPr>
    </w:p>
    <w:p w14:paraId="5274B894" w14:textId="77777777" w:rsidR="00717544" w:rsidRPr="00E146FB" w:rsidRDefault="00717544" w:rsidP="00717544">
      <w:pPr>
        <w:spacing w:line="240" w:lineRule="auto"/>
        <w:rPr>
          <w:rFonts w:asciiTheme="minorHAnsi" w:hAnsiTheme="minorHAnsi" w:cstheme="minorHAnsi"/>
          <w:color w:val="000000"/>
          <w:shd w:val="clear" w:color="auto" w:fill="FFFFFF"/>
        </w:rPr>
      </w:pPr>
      <w:r w:rsidRPr="00E146FB">
        <w:rPr>
          <w:rFonts w:asciiTheme="minorHAnsi" w:hAnsiTheme="minorHAnsi" w:cstheme="minorHAnsi"/>
          <w:color w:val="000000"/>
        </w:rPr>
        <w:t>Géoméga</w:t>
      </w:r>
      <w:r w:rsidRPr="00E146FB">
        <w:rPr>
          <w:rFonts w:asciiTheme="minorHAnsi" w:hAnsiTheme="minorHAnsi" w:cstheme="minorHAnsi"/>
          <w:color w:val="000000"/>
          <w:shd w:val="clear" w:color="auto" w:fill="FFFFFF"/>
        </w:rPr>
        <w:t xml:space="preserve"> est également propriétaire du gisement de terres rares de la Carbonatite de Montviel, la plus grande estimation des ressources de bastnaésite 43-101 en Amérique du Nord et détient plus de 16,8 millions d'actions, </w:t>
      </w:r>
      <w:r w:rsidRPr="00E146FB">
        <w:rPr>
          <w:rFonts w:asciiTheme="minorHAnsi" w:hAnsiTheme="minorHAnsi" w:cstheme="minorHAnsi"/>
          <w:color w:val="000000"/>
          <w:shd w:val="clear" w:color="auto" w:fill="FFFFFF"/>
        </w:rPr>
        <w:lastRenderedPageBreak/>
        <w:t>représentant environ 1</w:t>
      </w:r>
      <w:r>
        <w:rPr>
          <w:rFonts w:asciiTheme="minorHAnsi" w:hAnsiTheme="minorHAnsi" w:cstheme="minorHAnsi"/>
          <w:color w:val="000000"/>
          <w:shd w:val="clear" w:color="auto" w:fill="FFFFFF"/>
        </w:rPr>
        <w:t>3</w:t>
      </w:r>
      <w:r w:rsidRPr="00E146FB">
        <w:rPr>
          <w:rFonts w:asciiTheme="minorHAnsi" w:hAnsiTheme="minorHAnsi" w:cstheme="minorHAnsi"/>
          <w:color w:val="000000"/>
          <w:shd w:val="clear" w:color="auto" w:fill="FFFFFF"/>
        </w:rPr>
        <w:t>% des actions émises et en circulation, de Kintavar Exploration Inc. (KTR.V), une société d'exploration minière qui</w:t>
      </w:r>
      <w:r>
        <w:rPr>
          <w:rFonts w:asciiTheme="minorHAnsi" w:hAnsiTheme="minorHAnsi" w:cstheme="minorHAnsi"/>
          <w:color w:val="000000"/>
          <w:shd w:val="clear" w:color="auto" w:fill="FFFFFF"/>
        </w:rPr>
        <w:t xml:space="preserve"> développe des projets cuprifères </w:t>
      </w:r>
      <w:r w:rsidRPr="00E146FB">
        <w:rPr>
          <w:rFonts w:asciiTheme="minorHAnsi" w:hAnsiTheme="minorHAnsi" w:cstheme="minorHAnsi"/>
          <w:color w:val="000000"/>
          <w:shd w:val="clear" w:color="auto" w:fill="FFFFFF"/>
        </w:rPr>
        <w:t>au Québec, Canada.</w:t>
      </w:r>
    </w:p>
    <w:p w14:paraId="62D9DF27" w14:textId="77777777" w:rsidR="00717544" w:rsidRPr="00E146FB" w:rsidRDefault="00717544" w:rsidP="00717544">
      <w:pPr>
        <w:spacing w:line="23" w:lineRule="atLeast"/>
        <w:rPr>
          <w:rFonts w:asciiTheme="minorHAnsi" w:hAnsiTheme="minorHAnsi" w:cstheme="minorHAnsi"/>
          <w:color w:val="000000"/>
          <w:shd w:val="clear" w:color="auto" w:fill="FFFFFF"/>
        </w:rPr>
      </w:pPr>
    </w:p>
    <w:p w14:paraId="5B52CFC1" w14:textId="77777777" w:rsidR="00717544" w:rsidRPr="00E146FB" w:rsidRDefault="00717544" w:rsidP="00717544">
      <w:pPr>
        <w:spacing w:line="240" w:lineRule="auto"/>
        <w:rPr>
          <w:rFonts w:asciiTheme="minorHAnsi" w:hAnsiTheme="minorHAnsi" w:cstheme="minorHAnsi"/>
          <w:b/>
        </w:rPr>
      </w:pPr>
      <w:r w:rsidRPr="00E146FB">
        <w:rPr>
          <w:rFonts w:asciiTheme="minorHAnsi" w:hAnsiTheme="minorHAnsi" w:cstheme="minorHAnsi"/>
          <w:b/>
        </w:rPr>
        <w:t>Pour plus de détails, contactez:</w:t>
      </w:r>
    </w:p>
    <w:tbl>
      <w:tblPr>
        <w:tblW w:w="6815" w:type="dxa"/>
        <w:tblInd w:w="108" w:type="dxa"/>
        <w:tblLook w:val="04A0" w:firstRow="1" w:lastRow="0" w:firstColumn="1" w:lastColumn="0" w:noHBand="0" w:noVBand="1"/>
      </w:tblPr>
      <w:tblGrid>
        <w:gridCol w:w="6815"/>
      </w:tblGrid>
      <w:tr w:rsidR="00717544" w:rsidRPr="00E146FB" w14:paraId="7816D068" w14:textId="77777777" w:rsidTr="00B9350D">
        <w:tc>
          <w:tcPr>
            <w:tcW w:w="6815" w:type="dxa"/>
            <w:shd w:val="clear" w:color="auto" w:fill="auto"/>
          </w:tcPr>
          <w:p w14:paraId="12F9113B" w14:textId="77777777" w:rsidR="00717544" w:rsidRPr="00E146FB" w:rsidRDefault="00717544" w:rsidP="00B9350D">
            <w:pPr>
              <w:pStyle w:val="NormalWeb"/>
              <w:spacing w:before="0" w:beforeAutospacing="0" w:after="0" w:afterAutospacing="0"/>
              <w:jc w:val="both"/>
              <w:rPr>
                <w:rFonts w:asciiTheme="minorHAnsi" w:hAnsiTheme="minorHAnsi" w:cstheme="minorHAnsi"/>
                <w:color w:val="000000"/>
                <w:spacing w:val="-4"/>
                <w:w w:val="105"/>
                <w:lang w:eastAsia="en-US"/>
              </w:rPr>
            </w:pPr>
            <w:r w:rsidRPr="00E146FB">
              <w:rPr>
                <w:rFonts w:asciiTheme="minorHAnsi" w:hAnsiTheme="minorHAnsi" w:cstheme="minorHAnsi"/>
                <w:color w:val="000000"/>
                <w:spacing w:val="-4"/>
                <w:w w:val="105"/>
                <w:lang w:eastAsia="en-US"/>
              </w:rPr>
              <w:t>Kiril Mugerman</w:t>
            </w:r>
          </w:p>
        </w:tc>
      </w:tr>
      <w:tr w:rsidR="00717544" w:rsidRPr="00E146FB" w14:paraId="053A3A24" w14:textId="77777777" w:rsidTr="00B9350D">
        <w:tc>
          <w:tcPr>
            <w:tcW w:w="6815" w:type="dxa"/>
            <w:shd w:val="clear" w:color="auto" w:fill="auto"/>
          </w:tcPr>
          <w:p w14:paraId="1E462D07" w14:textId="77777777" w:rsidR="00717544" w:rsidRPr="00E146FB" w:rsidRDefault="00717544" w:rsidP="00B9350D">
            <w:pPr>
              <w:pStyle w:val="NormalWeb"/>
              <w:spacing w:before="0" w:beforeAutospacing="0" w:after="0" w:afterAutospacing="0"/>
              <w:jc w:val="both"/>
              <w:rPr>
                <w:rFonts w:asciiTheme="minorHAnsi" w:hAnsiTheme="minorHAnsi" w:cstheme="minorHAnsi"/>
                <w:color w:val="000000"/>
                <w:spacing w:val="-4"/>
                <w:w w:val="105"/>
                <w:lang w:eastAsia="en-US"/>
              </w:rPr>
            </w:pPr>
            <w:r w:rsidRPr="00E146FB">
              <w:rPr>
                <w:rFonts w:asciiTheme="minorHAnsi" w:hAnsiTheme="minorHAnsi" w:cstheme="minorHAnsi"/>
                <w:color w:val="000000"/>
                <w:spacing w:val="-4"/>
                <w:w w:val="105"/>
                <w:lang w:eastAsia="en-US"/>
              </w:rPr>
              <w:t>Président &amp; CEO</w:t>
            </w:r>
          </w:p>
        </w:tc>
      </w:tr>
      <w:tr w:rsidR="00717544" w:rsidRPr="00E146FB" w14:paraId="7E38B678" w14:textId="77777777" w:rsidTr="00B9350D">
        <w:tc>
          <w:tcPr>
            <w:tcW w:w="6815" w:type="dxa"/>
            <w:shd w:val="clear" w:color="auto" w:fill="auto"/>
          </w:tcPr>
          <w:p w14:paraId="25D52D54" w14:textId="77777777" w:rsidR="00717544" w:rsidRPr="00E146FB" w:rsidRDefault="00717544" w:rsidP="00B9350D">
            <w:pPr>
              <w:pStyle w:val="NormalWeb"/>
              <w:spacing w:before="0" w:beforeAutospacing="0" w:after="0" w:afterAutospacing="0"/>
              <w:jc w:val="both"/>
              <w:rPr>
                <w:rFonts w:asciiTheme="minorHAnsi" w:hAnsiTheme="minorHAnsi" w:cstheme="minorHAnsi"/>
                <w:color w:val="000000"/>
                <w:spacing w:val="-4"/>
                <w:w w:val="105"/>
                <w:lang w:eastAsia="en-US"/>
              </w:rPr>
            </w:pPr>
            <w:r w:rsidRPr="00E146FB">
              <w:rPr>
                <w:rFonts w:asciiTheme="minorHAnsi" w:hAnsiTheme="minorHAnsi" w:cstheme="minorHAnsi"/>
                <w:color w:val="000000"/>
                <w:spacing w:val="-4"/>
                <w:w w:val="105"/>
                <w:lang w:eastAsia="en-US"/>
              </w:rPr>
              <w:t>Géoméga</w:t>
            </w:r>
          </w:p>
        </w:tc>
      </w:tr>
      <w:tr w:rsidR="00717544" w:rsidRPr="00E146FB" w14:paraId="51A79806" w14:textId="77777777" w:rsidTr="00B9350D">
        <w:tc>
          <w:tcPr>
            <w:tcW w:w="6815" w:type="dxa"/>
            <w:shd w:val="clear" w:color="auto" w:fill="auto"/>
          </w:tcPr>
          <w:p w14:paraId="60BD1A52" w14:textId="77777777" w:rsidR="00717544" w:rsidRPr="00E146FB" w:rsidRDefault="00717544" w:rsidP="00B9350D">
            <w:pPr>
              <w:pStyle w:val="NormalWeb"/>
              <w:spacing w:before="0" w:beforeAutospacing="0" w:after="0" w:afterAutospacing="0"/>
              <w:jc w:val="both"/>
              <w:rPr>
                <w:rFonts w:asciiTheme="minorHAnsi" w:hAnsiTheme="minorHAnsi" w:cstheme="minorHAnsi"/>
                <w:color w:val="000000"/>
                <w:spacing w:val="-4"/>
                <w:w w:val="105"/>
                <w:lang w:eastAsia="en-US"/>
              </w:rPr>
            </w:pPr>
            <w:r w:rsidRPr="00E146FB">
              <w:rPr>
                <w:rFonts w:asciiTheme="minorHAnsi" w:hAnsiTheme="minorHAnsi" w:cstheme="minorHAnsi"/>
                <w:color w:val="000000"/>
                <w:spacing w:val="-4"/>
                <w:w w:val="105"/>
                <w:lang w:eastAsia="en-US"/>
              </w:rPr>
              <w:t>450-641-5119 ext.5653</w:t>
            </w:r>
          </w:p>
        </w:tc>
      </w:tr>
      <w:tr w:rsidR="00717544" w:rsidRPr="00E146FB" w14:paraId="08EE8B82" w14:textId="77777777" w:rsidTr="00B9350D">
        <w:tc>
          <w:tcPr>
            <w:tcW w:w="6815" w:type="dxa"/>
            <w:shd w:val="clear" w:color="auto" w:fill="auto"/>
          </w:tcPr>
          <w:p w14:paraId="25800F06" w14:textId="77777777" w:rsidR="00717544" w:rsidRPr="00E146FB" w:rsidRDefault="00000000" w:rsidP="00B9350D">
            <w:pPr>
              <w:pStyle w:val="NormalWeb"/>
              <w:spacing w:before="0" w:beforeAutospacing="0" w:after="0" w:afterAutospacing="0"/>
              <w:jc w:val="both"/>
              <w:rPr>
                <w:rStyle w:val="Lienhypertexte1"/>
                <w:rFonts w:asciiTheme="minorHAnsi" w:hAnsiTheme="minorHAnsi" w:cstheme="minorHAnsi"/>
                <w:color w:val="0070C0"/>
                <w:spacing w:val="-4"/>
                <w:w w:val="105"/>
                <w:sz w:val="22"/>
                <w:szCs w:val="22"/>
                <w:lang w:eastAsia="en-US"/>
              </w:rPr>
            </w:pPr>
            <w:hyperlink r:id="rId14" w:history="1">
              <w:r w:rsidR="00717544" w:rsidRPr="00E146FB">
                <w:rPr>
                  <w:rStyle w:val="Hyperlink"/>
                  <w:rFonts w:asciiTheme="minorHAnsi" w:hAnsiTheme="minorHAnsi" w:cstheme="minorHAnsi"/>
                  <w:spacing w:val="-4"/>
                  <w:w w:val="105"/>
                  <w:sz w:val="22"/>
                  <w:szCs w:val="22"/>
                  <w:lang w:eastAsia="en-US"/>
                </w:rPr>
                <w:t>kmugerman@Geomega.ca</w:t>
              </w:r>
            </w:hyperlink>
          </w:p>
          <w:p w14:paraId="3CCD21C9" w14:textId="77777777" w:rsidR="00717544" w:rsidRPr="00E146FB" w:rsidRDefault="00717544" w:rsidP="00B9350D">
            <w:pPr>
              <w:pStyle w:val="NormalWeb"/>
              <w:spacing w:before="0" w:beforeAutospacing="0" w:after="0" w:afterAutospacing="0"/>
              <w:jc w:val="both"/>
              <w:rPr>
                <w:rStyle w:val="Lienhypertexte1"/>
                <w:rFonts w:asciiTheme="minorHAnsi" w:hAnsiTheme="minorHAnsi" w:cstheme="minorHAnsi"/>
                <w:spacing w:val="-4"/>
                <w:w w:val="105"/>
              </w:rPr>
            </w:pPr>
          </w:p>
          <w:p w14:paraId="2495F63C" w14:textId="77777777" w:rsidR="00717544" w:rsidRPr="00717544" w:rsidRDefault="00717544" w:rsidP="00B9350D">
            <w:pPr>
              <w:pStyle w:val="NormalWeb"/>
              <w:spacing w:before="0" w:beforeAutospacing="0" w:after="0" w:afterAutospacing="0"/>
              <w:jc w:val="both"/>
              <w:rPr>
                <w:color w:val="000000"/>
                <w:lang w:eastAsia="en-US"/>
              </w:rPr>
            </w:pPr>
            <w:r w:rsidRPr="00717544">
              <w:rPr>
                <w:color w:val="000000"/>
                <w:lang w:eastAsia="en-US"/>
              </w:rPr>
              <w:t>Nancy Thompson</w:t>
            </w:r>
          </w:p>
          <w:p w14:paraId="281429F3" w14:textId="77777777" w:rsidR="00717544" w:rsidRPr="00717544" w:rsidRDefault="00717544" w:rsidP="00B9350D">
            <w:pPr>
              <w:pStyle w:val="NormalWeb"/>
              <w:spacing w:before="0" w:beforeAutospacing="0" w:after="0" w:afterAutospacing="0"/>
              <w:jc w:val="both"/>
              <w:rPr>
                <w:color w:val="000000"/>
                <w:lang w:eastAsia="en-US"/>
              </w:rPr>
            </w:pPr>
            <w:proofErr w:type="spellStart"/>
            <w:r w:rsidRPr="00717544">
              <w:rPr>
                <w:color w:val="000000"/>
                <w:lang w:eastAsia="en-US"/>
              </w:rPr>
              <w:t>Vorticom</w:t>
            </w:r>
            <w:proofErr w:type="spellEnd"/>
            <w:r w:rsidRPr="00717544">
              <w:rPr>
                <w:color w:val="000000"/>
                <w:lang w:eastAsia="en-US"/>
              </w:rPr>
              <w:t xml:space="preserve"> Public Relations</w:t>
            </w:r>
          </w:p>
          <w:p w14:paraId="289A1410" w14:textId="77777777" w:rsidR="00717544" w:rsidRPr="00717544" w:rsidRDefault="00717544" w:rsidP="00B9350D">
            <w:pPr>
              <w:pStyle w:val="NormalWeb"/>
              <w:spacing w:before="0" w:beforeAutospacing="0" w:after="0" w:afterAutospacing="0"/>
              <w:jc w:val="both"/>
              <w:rPr>
                <w:color w:val="000000"/>
                <w:lang w:eastAsia="en-US"/>
              </w:rPr>
            </w:pPr>
            <w:r w:rsidRPr="00717544">
              <w:rPr>
                <w:color w:val="000000"/>
                <w:lang w:eastAsia="en-US"/>
              </w:rPr>
              <w:t>212-532-2208</w:t>
            </w:r>
          </w:p>
          <w:p w14:paraId="3A0079E9" w14:textId="77777777" w:rsidR="00717544" w:rsidRPr="00E146FB" w:rsidRDefault="00000000" w:rsidP="00B9350D">
            <w:pPr>
              <w:pStyle w:val="NormalWeb"/>
              <w:spacing w:before="0" w:beforeAutospacing="0" w:after="0" w:afterAutospacing="0"/>
              <w:jc w:val="both"/>
              <w:rPr>
                <w:rStyle w:val="Lienhypertexte1"/>
                <w:rFonts w:asciiTheme="minorHAnsi" w:hAnsiTheme="minorHAnsi" w:cstheme="minorHAnsi"/>
                <w:color w:val="0563C1"/>
                <w:spacing w:val="-4"/>
                <w:w w:val="105"/>
                <w:sz w:val="22"/>
                <w:szCs w:val="22"/>
              </w:rPr>
            </w:pPr>
            <w:hyperlink r:id="rId15" w:history="1">
              <w:r w:rsidR="00717544" w:rsidRPr="00E146FB">
                <w:rPr>
                  <w:rStyle w:val="Hyperlink"/>
                  <w:rFonts w:asciiTheme="minorHAnsi" w:hAnsiTheme="minorHAnsi" w:cstheme="minorHAnsi"/>
                  <w:spacing w:val="-4"/>
                  <w:w w:val="105"/>
                  <w:sz w:val="22"/>
                  <w:szCs w:val="22"/>
                </w:rPr>
                <w:t>nancyt@vorticom.com</w:t>
              </w:r>
            </w:hyperlink>
          </w:p>
          <w:p w14:paraId="3F51C027" w14:textId="77777777" w:rsidR="00717544" w:rsidRPr="00717544" w:rsidRDefault="00717544" w:rsidP="00B9350D">
            <w:pPr>
              <w:pStyle w:val="NormalWeb"/>
              <w:spacing w:before="0" w:beforeAutospacing="0" w:after="0" w:afterAutospacing="0"/>
              <w:jc w:val="both"/>
              <w:rPr>
                <w:rStyle w:val="Lienhypertexte1"/>
                <w:rFonts w:asciiTheme="minorHAnsi" w:hAnsiTheme="minorHAnsi" w:cstheme="minorHAnsi"/>
                <w:spacing w:val="-4"/>
                <w:w w:val="105"/>
                <w:u w:val="none"/>
              </w:rPr>
            </w:pPr>
            <w:r w:rsidRPr="00717544">
              <w:rPr>
                <w:rStyle w:val="Lienhypertexte1"/>
                <w:rFonts w:asciiTheme="minorHAnsi" w:hAnsiTheme="minorHAnsi" w:cstheme="minorHAnsi"/>
                <w:color w:val="auto"/>
                <w:spacing w:val="-4"/>
                <w:w w:val="105"/>
                <w:u w:val="none"/>
              </w:rPr>
              <w:t>Twitter: @Geomega_REE</w:t>
            </w:r>
          </w:p>
          <w:p w14:paraId="3E457036" w14:textId="77777777" w:rsidR="00717544" w:rsidRPr="00E146FB" w:rsidRDefault="00717544" w:rsidP="00B9350D">
            <w:pPr>
              <w:pStyle w:val="NormalWeb"/>
              <w:spacing w:before="0" w:beforeAutospacing="0" w:after="0" w:afterAutospacing="0"/>
              <w:jc w:val="both"/>
              <w:rPr>
                <w:rFonts w:asciiTheme="minorHAnsi" w:hAnsiTheme="minorHAnsi" w:cstheme="minorHAnsi"/>
              </w:rPr>
            </w:pPr>
          </w:p>
        </w:tc>
      </w:tr>
    </w:tbl>
    <w:p w14:paraId="426A9D12" w14:textId="77777777" w:rsidR="00717544" w:rsidRPr="00E146FB" w:rsidRDefault="00717544" w:rsidP="00717544">
      <w:pPr>
        <w:rPr>
          <w:rFonts w:asciiTheme="minorHAnsi" w:hAnsiTheme="minorHAnsi" w:cstheme="minorHAnsi"/>
          <w:b/>
          <w:bCs/>
          <w:color w:val="000000"/>
        </w:rPr>
      </w:pPr>
      <w:r w:rsidRPr="00E146FB">
        <w:rPr>
          <w:rFonts w:asciiTheme="minorHAnsi" w:hAnsiTheme="minorHAnsi" w:cstheme="minorHAnsi"/>
          <w:b/>
          <w:bCs/>
          <w:color w:val="000000"/>
        </w:rPr>
        <w:t xml:space="preserve">Mises en garde concernant les énoncés prospectifs </w:t>
      </w:r>
    </w:p>
    <w:p w14:paraId="0F1880C7" w14:textId="77777777" w:rsidR="00717544" w:rsidRPr="00E146FB" w:rsidRDefault="00717544" w:rsidP="00717544">
      <w:pPr>
        <w:rPr>
          <w:rFonts w:asciiTheme="minorHAnsi" w:hAnsiTheme="minorHAnsi" w:cstheme="minorHAnsi"/>
          <w:b/>
          <w:bCs/>
          <w:color w:val="000000"/>
        </w:rPr>
      </w:pPr>
    </w:p>
    <w:p w14:paraId="3A10FF7A" w14:textId="77777777" w:rsidR="00717544" w:rsidRPr="00E146FB" w:rsidRDefault="00717544" w:rsidP="00717544">
      <w:pPr>
        <w:autoSpaceDE w:val="0"/>
        <w:autoSpaceDN w:val="0"/>
        <w:adjustRightInd w:val="0"/>
        <w:spacing w:line="240" w:lineRule="auto"/>
        <w:rPr>
          <w:rFonts w:asciiTheme="minorHAnsi" w:hAnsiTheme="minorHAnsi" w:cstheme="minorHAnsi"/>
          <w:i/>
          <w:color w:val="333333"/>
          <w:sz w:val="20"/>
          <w:szCs w:val="20"/>
          <w:lang w:eastAsia="fr-CA"/>
        </w:rPr>
      </w:pPr>
      <w:r w:rsidRPr="00E146FB">
        <w:rPr>
          <w:rFonts w:asciiTheme="minorHAnsi" w:hAnsiTheme="minorHAnsi" w:cstheme="minorHAnsi"/>
          <w:i/>
          <w:color w:val="333333"/>
          <w:sz w:val="20"/>
          <w:szCs w:val="20"/>
          <w:lang w:eastAsia="fr-CA"/>
        </w:rPr>
        <w:t>La Bourse de croissance TSX et son fournisseur de services de réglementation (au sens attribué à ce terme dans les politiques de la Bourse de croissance TSX) n’assument aucune responsabilité à l’égard de la pertinence ou de l’exactitude du présent communiqué.</w:t>
      </w:r>
    </w:p>
    <w:p w14:paraId="3925B31A" w14:textId="77777777" w:rsidR="00717544" w:rsidRPr="00E146FB" w:rsidRDefault="00717544" w:rsidP="00717544">
      <w:pPr>
        <w:autoSpaceDE w:val="0"/>
        <w:autoSpaceDN w:val="0"/>
        <w:adjustRightInd w:val="0"/>
        <w:spacing w:line="240" w:lineRule="auto"/>
        <w:rPr>
          <w:rFonts w:asciiTheme="minorHAnsi" w:hAnsiTheme="minorHAnsi" w:cstheme="minorHAnsi"/>
          <w:i/>
          <w:color w:val="333333"/>
          <w:sz w:val="20"/>
          <w:szCs w:val="20"/>
          <w:lang w:eastAsia="fr-CA"/>
        </w:rPr>
      </w:pPr>
    </w:p>
    <w:p w14:paraId="7654C6BB" w14:textId="77777777" w:rsidR="00717544" w:rsidRPr="00E146FB" w:rsidRDefault="00717544" w:rsidP="00717544">
      <w:pPr>
        <w:autoSpaceDE w:val="0"/>
        <w:autoSpaceDN w:val="0"/>
        <w:adjustRightInd w:val="0"/>
        <w:spacing w:line="240" w:lineRule="auto"/>
        <w:rPr>
          <w:rFonts w:asciiTheme="minorHAnsi" w:hAnsiTheme="minorHAnsi" w:cstheme="minorHAnsi"/>
          <w:i/>
          <w:color w:val="333333"/>
        </w:rPr>
      </w:pPr>
      <w:r w:rsidRPr="00E146FB">
        <w:rPr>
          <w:rFonts w:asciiTheme="minorHAnsi" w:hAnsiTheme="minorHAnsi" w:cstheme="minorHAnsi"/>
          <w:i/>
          <w:color w:val="333333"/>
          <w:sz w:val="20"/>
          <w:szCs w:val="20"/>
          <w:lang w:eastAsia="fr-CA"/>
        </w:rPr>
        <w:t>Ce communiqué de presse peut contenir de l’information prospective ou des énoncés prospectifs au sens des lois sur les valeurs mobilières canadiennes applicables. L’information prospective et les énoncés prospectifs peuvent inclure entre autres, des énoncés relatifs aux projets, les coûts, les objectifs et la performance de la Société, ou des hypothèses relatives à ce qui précède. Dans ce communiqué de presse, les termes comme « pouvoir », « croire », « s’attendre à », « avoir l’intention », « planifier », « prévoir », « potentiel », « projets », « estimer », « continuer », ou des variantes ou des formes négatives de tels termes ou encore d’une terminologie comparable, sont utilisés pour identifier des énoncés prospectifs. Les énoncés prospectifs ne devraient pas être interprétés comme une garantie des rendements ou résultats futurs, et ne devraient pas nécessairement donner des indications précises concernant le moment qu’un tel rendement pourra être réalisé. Rien ne garantit que les évènements prévus dans l’information prospective de ce communiqué de presse se concrétiseront, y compris la commercialisation des technologies mentionnées ci-dessus, ou, si l’un ou l’autre de ces évènements se concrétisent, quels seront les avantages que la Société en tirera. L’information prospective et les énoncés prospectifs sont basés sur l’information disponible au moment de la diffusion de ce communiqué de presse et/ou sur les prévisions faites de bonne foi par la direction, sous réserve des incertitudes, hypothèses et autres facteurs prévus ou non dont plusieurs sont indépendants de la volonté de la Société. Ces risques, incertitudes et hypothèses incluent sans s’y limiter, ceux décrits à la rubrique portant sur les facteurs de risque de la notice annuelle de la Société, pour l’exercice terminé le 31 mai 202</w:t>
      </w:r>
      <w:r>
        <w:rPr>
          <w:rFonts w:asciiTheme="minorHAnsi" w:hAnsiTheme="minorHAnsi" w:cstheme="minorHAnsi"/>
          <w:i/>
          <w:color w:val="333333"/>
          <w:sz w:val="20"/>
          <w:szCs w:val="20"/>
          <w:lang w:eastAsia="fr-CA"/>
        </w:rPr>
        <w:t>3</w:t>
      </w:r>
      <w:r w:rsidRPr="00E146FB">
        <w:rPr>
          <w:rFonts w:asciiTheme="minorHAnsi" w:hAnsiTheme="minorHAnsi" w:cstheme="minorHAnsi"/>
          <w:i/>
          <w:color w:val="333333"/>
          <w:sz w:val="20"/>
          <w:szCs w:val="20"/>
          <w:lang w:eastAsia="fr-CA"/>
        </w:rPr>
        <w:t>, y compris la disponibilité de matières premières provenant de tierces parties raisonnablement disponibles pour l’usine de démonstration, laquelle est disponible sur SEDAR à l’adresse www.sedar.com; qui peuvent faire en sorte que les résultats, le rendement ou les résultats à venir de la Société soient considérablement différents de ceux indiqués de façon explicite ou implicite dans de tels énoncés prospectifs. La Société n’entend pas ni ne s’engage à actualiser ou revoir l’information prospective ou les énoncés prospectifs contenus dans ce communiqué de presse à la lumière de nouveaux renseignements, subséquents ou autres, sauf dans les cas prévus par les lois applicables.</w:t>
      </w:r>
    </w:p>
    <w:p w14:paraId="2E2AF9F4" w14:textId="5CE1183E" w:rsidR="008F5F61" w:rsidRPr="00503851" w:rsidRDefault="008F5F61" w:rsidP="00513B6C">
      <w:pPr>
        <w:autoSpaceDE w:val="0"/>
        <w:autoSpaceDN w:val="0"/>
        <w:adjustRightInd w:val="0"/>
        <w:rPr>
          <w:rFonts w:cs="Times New Roman"/>
          <w:i/>
          <w:color w:val="333333"/>
          <w:sz w:val="20"/>
          <w:szCs w:val="20"/>
          <w:lang w:eastAsia="fr-CA"/>
        </w:rPr>
      </w:pPr>
    </w:p>
    <w:sectPr w:rsidR="008F5F61" w:rsidRPr="00503851" w:rsidSect="00787C78">
      <w:footerReference w:type="even" r:id="rId16"/>
      <w:footerReference w:type="default" r:id="rId17"/>
      <w:footerReference w:type="first" r:id="rId18"/>
      <w:pgSz w:w="12240" w:h="15840"/>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EC5B" w14:textId="77777777" w:rsidR="00787C78" w:rsidRDefault="00787C78">
      <w:pPr>
        <w:spacing w:line="240" w:lineRule="auto"/>
      </w:pPr>
      <w:r>
        <w:separator/>
      </w:r>
    </w:p>
  </w:endnote>
  <w:endnote w:type="continuationSeparator" w:id="0">
    <w:p w14:paraId="6DA7E8AB" w14:textId="77777777" w:rsidR="00787C78" w:rsidRDefault="00787C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erican Typewriter">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CE32" w14:textId="77777777" w:rsidR="00F02AE0" w:rsidRDefault="00F02AE0" w:rsidP="008F5F61">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7B3B" w14:textId="77777777" w:rsidR="00F02AE0" w:rsidRDefault="00F02AE0">
    <w:pPr>
      <w:pStyle w:val="Footer"/>
      <w:jc w:val="right"/>
    </w:pPr>
    <w:r>
      <w:fldChar w:fldCharType="begin"/>
    </w:r>
    <w:r>
      <w:instrText xml:space="preserve"> PAGE   \* MERGEFORMAT </w:instrText>
    </w:r>
    <w:r>
      <w:fldChar w:fldCharType="separate"/>
    </w:r>
    <w:r>
      <w:rPr>
        <w:noProof/>
      </w:rPr>
      <w:t>3</w:t>
    </w:r>
    <w:r>
      <w:fldChar w:fldCharType="end"/>
    </w:r>
  </w:p>
  <w:p w14:paraId="460737D0" w14:textId="77777777" w:rsidR="00F02AE0" w:rsidRDefault="00F02AE0" w:rsidP="008F5F61">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C698" w14:textId="77777777" w:rsidR="00F02AE0" w:rsidRDefault="00F02AE0" w:rsidP="008F5F61">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CEED8" w14:textId="77777777" w:rsidR="00787C78" w:rsidRDefault="00787C78">
      <w:pPr>
        <w:spacing w:line="240" w:lineRule="auto"/>
      </w:pPr>
      <w:r>
        <w:separator/>
      </w:r>
    </w:p>
  </w:footnote>
  <w:footnote w:type="continuationSeparator" w:id="0">
    <w:p w14:paraId="7996B0EC" w14:textId="77777777" w:rsidR="00787C78" w:rsidRDefault="00787C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E551A"/>
    <w:multiLevelType w:val="hybridMultilevel"/>
    <w:tmpl w:val="11765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464665"/>
    <w:multiLevelType w:val="hybridMultilevel"/>
    <w:tmpl w:val="B150C30C"/>
    <w:lvl w:ilvl="0" w:tplc="10090001">
      <w:start w:val="1"/>
      <w:numFmt w:val="bullet"/>
      <w:lvlText w:val=""/>
      <w:lvlJc w:val="left"/>
      <w:pPr>
        <w:ind w:left="1470" w:hanging="360"/>
      </w:pPr>
      <w:rPr>
        <w:rFonts w:ascii="Symbol" w:hAnsi="Symbol" w:hint="default"/>
      </w:rPr>
    </w:lvl>
    <w:lvl w:ilvl="1" w:tplc="10090003" w:tentative="1">
      <w:start w:val="1"/>
      <w:numFmt w:val="bullet"/>
      <w:lvlText w:val="o"/>
      <w:lvlJc w:val="left"/>
      <w:pPr>
        <w:ind w:left="2190" w:hanging="360"/>
      </w:pPr>
      <w:rPr>
        <w:rFonts w:ascii="Courier New" w:hAnsi="Courier New" w:cs="Courier New" w:hint="default"/>
      </w:rPr>
    </w:lvl>
    <w:lvl w:ilvl="2" w:tplc="10090005" w:tentative="1">
      <w:start w:val="1"/>
      <w:numFmt w:val="bullet"/>
      <w:lvlText w:val=""/>
      <w:lvlJc w:val="left"/>
      <w:pPr>
        <w:ind w:left="2910" w:hanging="360"/>
      </w:pPr>
      <w:rPr>
        <w:rFonts w:ascii="Wingdings" w:hAnsi="Wingdings" w:hint="default"/>
      </w:rPr>
    </w:lvl>
    <w:lvl w:ilvl="3" w:tplc="10090001" w:tentative="1">
      <w:start w:val="1"/>
      <w:numFmt w:val="bullet"/>
      <w:lvlText w:val=""/>
      <w:lvlJc w:val="left"/>
      <w:pPr>
        <w:ind w:left="3630" w:hanging="360"/>
      </w:pPr>
      <w:rPr>
        <w:rFonts w:ascii="Symbol" w:hAnsi="Symbol" w:hint="default"/>
      </w:rPr>
    </w:lvl>
    <w:lvl w:ilvl="4" w:tplc="10090003" w:tentative="1">
      <w:start w:val="1"/>
      <w:numFmt w:val="bullet"/>
      <w:lvlText w:val="o"/>
      <w:lvlJc w:val="left"/>
      <w:pPr>
        <w:ind w:left="4350" w:hanging="360"/>
      </w:pPr>
      <w:rPr>
        <w:rFonts w:ascii="Courier New" w:hAnsi="Courier New" w:cs="Courier New" w:hint="default"/>
      </w:rPr>
    </w:lvl>
    <w:lvl w:ilvl="5" w:tplc="10090005" w:tentative="1">
      <w:start w:val="1"/>
      <w:numFmt w:val="bullet"/>
      <w:lvlText w:val=""/>
      <w:lvlJc w:val="left"/>
      <w:pPr>
        <w:ind w:left="5070" w:hanging="360"/>
      </w:pPr>
      <w:rPr>
        <w:rFonts w:ascii="Wingdings" w:hAnsi="Wingdings" w:hint="default"/>
      </w:rPr>
    </w:lvl>
    <w:lvl w:ilvl="6" w:tplc="10090001" w:tentative="1">
      <w:start w:val="1"/>
      <w:numFmt w:val="bullet"/>
      <w:lvlText w:val=""/>
      <w:lvlJc w:val="left"/>
      <w:pPr>
        <w:ind w:left="5790" w:hanging="360"/>
      </w:pPr>
      <w:rPr>
        <w:rFonts w:ascii="Symbol" w:hAnsi="Symbol" w:hint="default"/>
      </w:rPr>
    </w:lvl>
    <w:lvl w:ilvl="7" w:tplc="10090003" w:tentative="1">
      <w:start w:val="1"/>
      <w:numFmt w:val="bullet"/>
      <w:lvlText w:val="o"/>
      <w:lvlJc w:val="left"/>
      <w:pPr>
        <w:ind w:left="6510" w:hanging="360"/>
      </w:pPr>
      <w:rPr>
        <w:rFonts w:ascii="Courier New" w:hAnsi="Courier New" w:cs="Courier New" w:hint="default"/>
      </w:rPr>
    </w:lvl>
    <w:lvl w:ilvl="8" w:tplc="10090005" w:tentative="1">
      <w:start w:val="1"/>
      <w:numFmt w:val="bullet"/>
      <w:lvlText w:val=""/>
      <w:lvlJc w:val="left"/>
      <w:pPr>
        <w:ind w:left="7230" w:hanging="360"/>
      </w:pPr>
      <w:rPr>
        <w:rFonts w:ascii="Wingdings" w:hAnsi="Wingdings" w:hint="default"/>
      </w:rPr>
    </w:lvl>
  </w:abstractNum>
  <w:abstractNum w:abstractNumId="2" w15:restartNumberingAfterBreak="0">
    <w:nsid w:val="546974CF"/>
    <w:multiLevelType w:val="hybridMultilevel"/>
    <w:tmpl w:val="F620E976"/>
    <w:lvl w:ilvl="0" w:tplc="0E7E7B6E">
      <w:start w:val="1"/>
      <w:numFmt w:val="bullet"/>
      <w:lvlText w:val=""/>
      <w:lvlJc w:val="left"/>
      <w:pPr>
        <w:ind w:left="720" w:hanging="360"/>
      </w:pPr>
      <w:rPr>
        <w:rFonts w:ascii="Symbol" w:hAnsi="Symbol" w:hint="default"/>
      </w:rPr>
    </w:lvl>
    <w:lvl w:ilvl="1" w:tplc="A20C1B68" w:tentative="1">
      <w:start w:val="1"/>
      <w:numFmt w:val="bullet"/>
      <w:lvlText w:val="o"/>
      <w:lvlJc w:val="left"/>
      <w:pPr>
        <w:ind w:left="1440" w:hanging="360"/>
      </w:pPr>
      <w:rPr>
        <w:rFonts w:ascii="Courier New" w:hAnsi="Courier New" w:cs="Courier New" w:hint="default"/>
      </w:rPr>
    </w:lvl>
    <w:lvl w:ilvl="2" w:tplc="A3EAEC9A" w:tentative="1">
      <w:start w:val="1"/>
      <w:numFmt w:val="bullet"/>
      <w:lvlText w:val=""/>
      <w:lvlJc w:val="left"/>
      <w:pPr>
        <w:ind w:left="2160" w:hanging="360"/>
      </w:pPr>
      <w:rPr>
        <w:rFonts w:ascii="Wingdings" w:hAnsi="Wingdings" w:hint="default"/>
      </w:rPr>
    </w:lvl>
    <w:lvl w:ilvl="3" w:tplc="6FA8E4F2" w:tentative="1">
      <w:start w:val="1"/>
      <w:numFmt w:val="bullet"/>
      <w:lvlText w:val=""/>
      <w:lvlJc w:val="left"/>
      <w:pPr>
        <w:ind w:left="2880" w:hanging="360"/>
      </w:pPr>
      <w:rPr>
        <w:rFonts w:ascii="Symbol" w:hAnsi="Symbol" w:hint="default"/>
      </w:rPr>
    </w:lvl>
    <w:lvl w:ilvl="4" w:tplc="D8827C70" w:tentative="1">
      <w:start w:val="1"/>
      <w:numFmt w:val="bullet"/>
      <w:lvlText w:val="o"/>
      <w:lvlJc w:val="left"/>
      <w:pPr>
        <w:ind w:left="3600" w:hanging="360"/>
      </w:pPr>
      <w:rPr>
        <w:rFonts w:ascii="Courier New" w:hAnsi="Courier New" w:cs="Courier New" w:hint="default"/>
      </w:rPr>
    </w:lvl>
    <w:lvl w:ilvl="5" w:tplc="7622576E" w:tentative="1">
      <w:start w:val="1"/>
      <w:numFmt w:val="bullet"/>
      <w:lvlText w:val=""/>
      <w:lvlJc w:val="left"/>
      <w:pPr>
        <w:ind w:left="4320" w:hanging="360"/>
      </w:pPr>
      <w:rPr>
        <w:rFonts w:ascii="Wingdings" w:hAnsi="Wingdings" w:hint="default"/>
      </w:rPr>
    </w:lvl>
    <w:lvl w:ilvl="6" w:tplc="71262C96" w:tentative="1">
      <w:start w:val="1"/>
      <w:numFmt w:val="bullet"/>
      <w:lvlText w:val=""/>
      <w:lvlJc w:val="left"/>
      <w:pPr>
        <w:ind w:left="5040" w:hanging="360"/>
      </w:pPr>
      <w:rPr>
        <w:rFonts w:ascii="Symbol" w:hAnsi="Symbol" w:hint="default"/>
      </w:rPr>
    </w:lvl>
    <w:lvl w:ilvl="7" w:tplc="E5325BDC" w:tentative="1">
      <w:start w:val="1"/>
      <w:numFmt w:val="bullet"/>
      <w:lvlText w:val="o"/>
      <w:lvlJc w:val="left"/>
      <w:pPr>
        <w:ind w:left="5760" w:hanging="360"/>
      </w:pPr>
      <w:rPr>
        <w:rFonts w:ascii="Courier New" w:hAnsi="Courier New" w:cs="Courier New" w:hint="default"/>
      </w:rPr>
    </w:lvl>
    <w:lvl w:ilvl="8" w:tplc="6BBC9426" w:tentative="1">
      <w:start w:val="1"/>
      <w:numFmt w:val="bullet"/>
      <w:lvlText w:val=""/>
      <w:lvlJc w:val="left"/>
      <w:pPr>
        <w:ind w:left="6480" w:hanging="360"/>
      </w:pPr>
      <w:rPr>
        <w:rFonts w:ascii="Wingdings" w:hAnsi="Wingdings" w:hint="default"/>
      </w:rPr>
    </w:lvl>
  </w:abstractNum>
  <w:abstractNum w:abstractNumId="3" w15:restartNumberingAfterBreak="0">
    <w:nsid w:val="655662A7"/>
    <w:multiLevelType w:val="hybridMultilevel"/>
    <w:tmpl w:val="38B6F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B655CA"/>
    <w:multiLevelType w:val="hybridMultilevel"/>
    <w:tmpl w:val="DE028A1A"/>
    <w:lvl w:ilvl="0" w:tplc="A8CE6A12">
      <w:start w:val="1"/>
      <w:numFmt w:val="bullet"/>
      <w:lvlText w:val=""/>
      <w:lvlJc w:val="left"/>
      <w:pPr>
        <w:ind w:left="720" w:hanging="360"/>
      </w:pPr>
      <w:rPr>
        <w:rFonts w:ascii="Symbol" w:hAnsi="Symbol" w:hint="default"/>
      </w:rPr>
    </w:lvl>
    <w:lvl w:ilvl="1" w:tplc="D36C894C" w:tentative="1">
      <w:start w:val="1"/>
      <w:numFmt w:val="bullet"/>
      <w:lvlText w:val="o"/>
      <w:lvlJc w:val="left"/>
      <w:pPr>
        <w:ind w:left="1440" w:hanging="360"/>
      </w:pPr>
      <w:rPr>
        <w:rFonts w:ascii="Courier New" w:hAnsi="Courier New" w:cs="Courier New" w:hint="default"/>
      </w:rPr>
    </w:lvl>
    <w:lvl w:ilvl="2" w:tplc="AB9E72B4" w:tentative="1">
      <w:start w:val="1"/>
      <w:numFmt w:val="bullet"/>
      <w:lvlText w:val=""/>
      <w:lvlJc w:val="left"/>
      <w:pPr>
        <w:ind w:left="2160" w:hanging="360"/>
      </w:pPr>
      <w:rPr>
        <w:rFonts w:ascii="Wingdings" w:hAnsi="Wingdings" w:hint="default"/>
      </w:rPr>
    </w:lvl>
    <w:lvl w:ilvl="3" w:tplc="04322F62" w:tentative="1">
      <w:start w:val="1"/>
      <w:numFmt w:val="bullet"/>
      <w:lvlText w:val=""/>
      <w:lvlJc w:val="left"/>
      <w:pPr>
        <w:ind w:left="2880" w:hanging="360"/>
      </w:pPr>
      <w:rPr>
        <w:rFonts w:ascii="Symbol" w:hAnsi="Symbol" w:hint="default"/>
      </w:rPr>
    </w:lvl>
    <w:lvl w:ilvl="4" w:tplc="2390B2A8" w:tentative="1">
      <w:start w:val="1"/>
      <w:numFmt w:val="bullet"/>
      <w:lvlText w:val="o"/>
      <w:lvlJc w:val="left"/>
      <w:pPr>
        <w:ind w:left="3600" w:hanging="360"/>
      </w:pPr>
      <w:rPr>
        <w:rFonts w:ascii="Courier New" w:hAnsi="Courier New" w:cs="Courier New" w:hint="default"/>
      </w:rPr>
    </w:lvl>
    <w:lvl w:ilvl="5" w:tplc="6FAEF82C" w:tentative="1">
      <w:start w:val="1"/>
      <w:numFmt w:val="bullet"/>
      <w:lvlText w:val=""/>
      <w:lvlJc w:val="left"/>
      <w:pPr>
        <w:ind w:left="4320" w:hanging="360"/>
      </w:pPr>
      <w:rPr>
        <w:rFonts w:ascii="Wingdings" w:hAnsi="Wingdings" w:hint="default"/>
      </w:rPr>
    </w:lvl>
    <w:lvl w:ilvl="6" w:tplc="43685D3C" w:tentative="1">
      <w:start w:val="1"/>
      <w:numFmt w:val="bullet"/>
      <w:lvlText w:val=""/>
      <w:lvlJc w:val="left"/>
      <w:pPr>
        <w:ind w:left="5040" w:hanging="360"/>
      </w:pPr>
      <w:rPr>
        <w:rFonts w:ascii="Symbol" w:hAnsi="Symbol" w:hint="default"/>
      </w:rPr>
    </w:lvl>
    <w:lvl w:ilvl="7" w:tplc="1C7C1928" w:tentative="1">
      <w:start w:val="1"/>
      <w:numFmt w:val="bullet"/>
      <w:lvlText w:val="o"/>
      <w:lvlJc w:val="left"/>
      <w:pPr>
        <w:ind w:left="5760" w:hanging="360"/>
      </w:pPr>
      <w:rPr>
        <w:rFonts w:ascii="Courier New" w:hAnsi="Courier New" w:cs="Courier New" w:hint="default"/>
      </w:rPr>
    </w:lvl>
    <w:lvl w:ilvl="8" w:tplc="5EA2D37E" w:tentative="1">
      <w:start w:val="1"/>
      <w:numFmt w:val="bullet"/>
      <w:lvlText w:val=""/>
      <w:lvlJc w:val="left"/>
      <w:pPr>
        <w:ind w:left="6480" w:hanging="360"/>
      </w:pPr>
      <w:rPr>
        <w:rFonts w:ascii="Wingdings" w:hAnsi="Wingdings" w:hint="default"/>
      </w:rPr>
    </w:lvl>
  </w:abstractNum>
  <w:abstractNum w:abstractNumId="5" w15:restartNumberingAfterBreak="0">
    <w:nsid w:val="6C693685"/>
    <w:multiLevelType w:val="hybridMultilevel"/>
    <w:tmpl w:val="9DD0C6FE"/>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6" w15:restartNumberingAfterBreak="0">
    <w:nsid w:val="73734202"/>
    <w:multiLevelType w:val="hybridMultilevel"/>
    <w:tmpl w:val="184EEE10"/>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7" w15:restartNumberingAfterBreak="0">
    <w:nsid w:val="77A701A2"/>
    <w:multiLevelType w:val="hybridMultilevel"/>
    <w:tmpl w:val="E8384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65834881">
    <w:abstractNumId w:val="2"/>
  </w:num>
  <w:num w:numId="2" w16cid:durableId="935136632">
    <w:abstractNumId w:val="4"/>
  </w:num>
  <w:num w:numId="3" w16cid:durableId="1310012580">
    <w:abstractNumId w:val="0"/>
  </w:num>
  <w:num w:numId="4" w16cid:durableId="1340162325">
    <w:abstractNumId w:val="5"/>
  </w:num>
  <w:num w:numId="5" w16cid:durableId="1172835664">
    <w:abstractNumId w:val="7"/>
  </w:num>
  <w:num w:numId="6" w16cid:durableId="507981659">
    <w:abstractNumId w:val="1"/>
  </w:num>
  <w:num w:numId="7" w16cid:durableId="961612665">
    <w:abstractNumId w:val="6"/>
  </w:num>
  <w:num w:numId="8" w16cid:durableId="14769930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proofState w:spelling="clean" w:grammar="clean"/>
  <w:stylePaneSortMethod w:val="00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845"/>
    <w:rsid w:val="0002642C"/>
    <w:rsid w:val="00047130"/>
    <w:rsid w:val="0005632C"/>
    <w:rsid w:val="00057175"/>
    <w:rsid w:val="0006268A"/>
    <w:rsid w:val="000674A3"/>
    <w:rsid w:val="00086ABE"/>
    <w:rsid w:val="00091156"/>
    <w:rsid w:val="000963C7"/>
    <w:rsid w:val="000A5830"/>
    <w:rsid w:val="000A61C0"/>
    <w:rsid w:val="000A7FCE"/>
    <w:rsid w:val="000C05DB"/>
    <w:rsid w:val="000C1A07"/>
    <w:rsid w:val="000C38C5"/>
    <w:rsid w:val="000C5841"/>
    <w:rsid w:val="000F0717"/>
    <w:rsid w:val="000F53BC"/>
    <w:rsid w:val="00100931"/>
    <w:rsid w:val="001032F0"/>
    <w:rsid w:val="00107699"/>
    <w:rsid w:val="00116F4D"/>
    <w:rsid w:val="00125175"/>
    <w:rsid w:val="001311EE"/>
    <w:rsid w:val="00155C54"/>
    <w:rsid w:val="00160B7D"/>
    <w:rsid w:val="001673BD"/>
    <w:rsid w:val="00173FA4"/>
    <w:rsid w:val="00174198"/>
    <w:rsid w:val="0018256A"/>
    <w:rsid w:val="001A2FBA"/>
    <w:rsid w:val="001A51E9"/>
    <w:rsid w:val="001B2DA3"/>
    <w:rsid w:val="001B6D42"/>
    <w:rsid w:val="001B6F6C"/>
    <w:rsid w:val="001B7040"/>
    <w:rsid w:val="001C13E1"/>
    <w:rsid w:val="001D0A35"/>
    <w:rsid w:val="001E08ED"/>
    <w:rsid w:val="001E5633"/>
    <w:rsid w:val="001F033F"/>
    <w:rsid w:val="00200434"/>
    <w:rsid w:val="00200C04"/>
    <w:rsid w:val="00202203"/>
    <w:rsid w:val="00212FC4"/>
    <w:rsid w:val="00216E9C"/>
    <w:rsid w:val="00223ACB"/>
    <w:rsid w:val="00230882"/>
    <w:rsid w:val="00231AE6"/>
    <w:rsid w:val="00236ABB"/>
    <w:rsid w:val="0024188A"/>
    <w:rsid w:val="0024316A"/>
    <w:rsid w:val="00270842"/>
    <w:rsid w:val="0028272A"/>
    <w:rsid w:val="00286FF8"/>
    <w:rsid w:val="00290628"/>
    <w:rsid w:val="00293109"/>
    <w:rsid w:val="002A53FC"/>
    <w:rsid w:val="002A6521"/>
    <w:rsid w:val="002B03E7"/>
    <w:rsid w:val="002C0966"/>
    <w:rsid w:val="002C0CE4"/>
    <w:rsid w:val="002C658C"/>
    <w:rsid w:val="002C6720"/>
    <w:rsid w:val="002D7344"/>
    <w:rsid w:val="002E00D6"/>
    <w:rsid w:val="00315D82"/>
    <w:rsid w:val="00316501"/>
    <w:rsid w:val="00322697"/>
    <w:rsid w:val="00322C68"/>
    <w:rsid w:val="003238C0"/>
    <w:rsid w:val="00325FC7"/>
    <w:rsid w:val="00326742"/>
    <w:rsid w:val="003416C8"/>
    <w:rsid w:val="003643F2"/>
    <w:rsid w:val="00366105"/>
    <w:rsid w:val="00372BFD"/>
    <w:rsid w:val="00373F19"/>
    <w:rsid w:val="00374B26"/>
    <w:rsid w:val="00383FFE"/>
    <w:rsid w:val="00397688"/>
    <w:rsid w:val="003B7226"/>
    <w:rsid w:val="003C48FC"/>
    <w:rsid w:val="003C6A71"/>
    <w:rsid w:val="003E3410"/>
    <w:rsid w:val="003F1CAE"/>
    <w:rsid w:val="003F4F86"/>
    <w:rsid w:val="004029C0"/>
    <w:rsid w:val="00411296"/>
    <w:rsid w:val="00413130"/>
    <w:rsid w:val="0042611B"/>
    <w:rsid w:val="004435F7"/>
    <w:rsid w:val="0044590A"/>
    <w:rsid w:val="004508E0"/>
    <w:rsid w:val="00451889"/>
    <w:rsid w:val="00466172"/>
    <w:rsid w:val="00472DAE"/>
    <w:rsid w:val="00487138"/>
    <w:rsid w:val="00492A8A"/>
    <w:rsid w:val="004A1DB8"/>
    <w:rsid w:val="004A35A9"/>
    <w:rsid w:val="004B18B1"/>
    <w:rsid w:val="004B561D"/>
    <w:rsid w:val="004E238E"/>
    <w:rsid w:val="004E7763"/>
    <w:rsid w:val="004F007D"/>
    <w:rsid w:val="00503851"/>
    <w:rsid w:val="00503ED3"/>
    <w:rsid w:val="00503FC5"/>
    <w:rsid w:val="00513B6C"/>
    <w:rsid w:val="005217CE"/>
    <w:rsid w:val="005407B7"/>
    <w:rsid w:val="00544CFE"/>
    <w:rsid w:val="00551638"/>
    <w:rsid w:val="00561A1D"/>
    <w:rsid w:val="005669C5"/>
    <w:rsid w:val="0057091A"/>
    <w:rsid w:val="00576980"/>
    <w:rsid w:val="00583EFC"/>
    <w:rsid w:val="0059119F"/>
    <w:rsid w:val="0059146E"/>
    <w:rsid w:val="00596D67"/>
    <w:rsid w:val="005A2FF8"/>
    <w:rsid w:val="005A72BC"/>
    <w:rsid w:val="005A77F1"/>
    <w:rsid w:val="005B6425"/>
    <w:rsid w:val="005D38DA"/>
    <w:rsid w:val="005E29B9"/>
    <w:rsid w:val="005E2F59"/>
    <w:rsid w:val="005E5893"/>
    <w:rsid w:val="005F49F1"/>
    <w:rsid w:val="005F50DF"/>
    <w:rsid w:val="005F53F8"/>
    <w:rsid w:val="0060148A"/>
    <w:rsid w:val="006060F2"/>
    <w:rsid w:val="00610843"/>
    <w:rsid w:val="00614C4B"/>
    <w:rsid w:val="00615BB4"/>
    <w:rsid w:val="006216CD"/>
    <w:rsid w:val="00623288"/>
    <w:rsid w:val="0063491C"/>
    <w:rsid w:val="006401DB"/>
    <w:rsid w:val="006429EB"/>
    <w:rsid w:val="006431E8"/>
    <w:rsid w:val="0065391D"/>
    <w:rsid w:val="006574F5"/>
    <w:rsid w:val="00662A07"/>
    <w:rsid w:val="00665913"/>
    <w:rsid w:val="0068177F"/>
    <w:rsid w:val="00684DD4"/>
    <w:rsid w:val="006959E0"/>
    <w:rsid w:val="006A0A44"/>
    <w:rsid w:val="006A4031"/>
    <w:rsid w:val="006A5440"/>
    <w:rsid w:val="006A5643"/>
    <w:rsid w:val="006A709D"/>
    <w:rsid w:val="006C010C"/>
    <w:rsid w:val="006C1067"/>
    <w:rsid w:val="006C2820"/>
    <w:rsid w:val="006F4B0B"/>
    <w:rsid w:val="006F6BCF"/>
    <w:rsid w:val="006F7258"/>
    <w:rsid w:val="007007EB"/>
    <w:rsid w:val="007042DA"/>
    <w:rsid w:val="007145AF"/>
    <w:rsid w:val="0071615A"/>
    <w:rsid w:val="00717544"/>
    <w:rsid w:val="007240FE"/>
    <w:rsid w:val="00731D6F"/>
    <w:rsid w:val="00737A1A"/>
    <w:rsid w:val="007569F4"/>
    <w:rsid w:val="007579ED"/>
    <w:rsid w:val="0076104C"/>
    <w:rsid w:val="00766AB8"/>
    <w:rsid w:val="0078234B"/>
    <w:rsid w:val="007843DE"/>
    <w:rsid w:val="00787C78"/>
    <w:rsid w:val="007901E2"/>
    <w:rsid w:val="00794493"/>
    <w:rsid w:val="00795F39"/>
    <w:rsid w:val="007A2C75"/>
    <w:rsid w:val="007A5669"/>
    <w:rsid w:val="007A6701"/>
    <w:rsid w:val="007A7793"/>
    <w:rsid w:val="007B0550"/>
    <w:rsid w:val="007B134F"/>
    <w:rsid w:val="007B1B79"/>
    <w:rsid w:val="007B7382"/>
    <w:rsid w:val="007B791B"/>
    <w:rsid w:val="007C44B8"/>
    <w:rsid w:val="007D647A"/>
    <w:rsid w:val="007D725A"/>
    <w:rsid w:val="007E3E33"/>
    <w:rsid w:val="007F09FD"/>
    <w:rsid w:val="007F1DC4"/>
    <w:rsid w:val="00801FF0"/>
    <w:rsid w:val="00811380"/>
    <w:rsid w:val="0081502C"/>
    <w:rsid w:val="0082375C"/>
    <w:rsid w:val="008339EF"/>
    <w:rsid w:val="00836C54"/>
    <w:rsid w:val="0088214B"/>
    <w:rsid w:val="00884D6E"/>
    <w:rsid w:val="008862A1"/>
    <w:rsid w:val="008A3144"/>
    <w:rsid w:val="008A4C52"/>
    <w:rsid w:val="008A6868"/>
    <w:rsid w:val="008C33D1"/>
    <w:rsid w:val="008D5299"/>
    <w:rsid w:val="008F514B"/>
    <w:rsid w:val="008F5F61"/>
    <w:rsid w:val="0090234C"/>
    <w:rsid w:val="00912570"/>
    <w:rsid w:val="00913C9B"/>
    <w:rsid w:val="009178C9"/>
    <w:rsid w:val="00917DA0"/>
    <w:rsid w:val="009247DF"/>
    <w:rsid w:val="0093163E"/>
    <w:rsid w:val="00934E9D"/>
    <w:rsid w:val="00941814"/>
    <w:rsid w:val="00956B4C"/>
    <w:rsid w:val="00985DA9"/>
    <w:rsid w:val="00987BDA"/>
    <w:rsid w:val="00992465"/>
    <w:rsid w:val="009A653B"/>
    <w:rsid w:val="009C51AA"/>
    <w:rsid w:val="009D08E2"/>
    <w:rsid w:val="009D1621"/>
    <w:rsid w:val="009D5569"/>
    <w:rsid w:val="009E2303"/>
    <w:rsid w:val="009E42E9"/>
    <w:rsid w:val="009E52EB"/>
    <w:rsid w:val="009E6B96"/>
    <w:rsid w:val="009F0833"/>
    <w:rsid w:val="009F7992"/>
    <w:rsid w:val="00A06845"/>
    <w:rsid w:val="00A15CE4"/>
    <w:rsid w:val="00A3063A"/>
    <w:rsid w:val="00A34E3B"/>
    <w:rsid w:val="00A41D2D"/>
    <w:rsid w:val="00A55C0E"/>
    <w:rsid w:val="00A57DF5"/>
    <w:rsid w:val="00A616C6"/>
    <w:rsid w:val="00A7298E"/>
    <w:rsid w:val="00A8070E"/>
    <w:rsid w:val="00A95ACD"/>
    <w:rsid w:val="00AA0138"/>
    <w:rsid w:val="00AA07AE"/>
    <w:rsid w:val="00AC123D"/>
    <w:rsid w:val="00AC2E5F"/>
    <w:rsid w:val="00AC3E88"/>
    <w:rsid w:val="00AD4A19"/>
    <w:rsid w:val="00AF2F30"/>
    <w:rsid w:val="00AF3673"/>
    <w:rsid w:val="00B04499"/>
    <w:rsid w:val="00B1516A"/>
    <w:rsid w:val="00B325A0"/>
    <w:rsid w:val="00B370EB"/>
    <w:rsid w:val="00B5596B"/>
    <w:rsid w:val="00B76863"/>
    <w:rsid w:val="00B80445"/>
    <w:rsid w:val="00B8638E"/>
    <w:rsid w:val="00B90B4E"/>
    <w:rsid w:val="00B96B70"/>
    <w:rsid w:val="00BA07A1"/>
    <w:rsid w:val="00BA13AE"/>
    <w:rsid w:val="00BA244C"/>
    <w:rsid w:val="00BA34A4"/>
    <w:rsid w:val="00BA42DB"/>
    <w:rsid w:val="00BA7A59"/>
    <w:rsid w:val="00BC60BC"/>
    <w:rsid w:val="00BC6C18"/>
    <w:rsid w:val="00BC7BAB"/>
    <w:rsid w:val="00BD357A"/>
    <w:rsid w:val="00BE30C9"/>
    <w:rsid w:val="00BE43E3"/>
    <w:rsid w:val="00BF07DB"/>
    <w:rsid w:val="00BF0956"/>
    <w:rsid w:val="00BF0BB5"/>
    <w:rsid w:val="00C01034"/>
    <w:rsid w:val="00C0552A"/>
    <w:rsid w:val="00C0560F"/>
    <w:rsid w:val="00C11572"/>
    <w:rsid w:val="00C24131"/>
    <w:rsid w:val="00C24699"/>
    <w:rsid w:val="00C27BFB"/>
    <w:rsid w:val="00C32BD6"/>
    <w:rsid w:val="00C33F2C"/>
    <w:rsid w:val="00C3425B"/>
    <w:rsid w:val="00C36A0F"/>
    <w:rsid w:val="00C425C8"/>
    <w:rsid w:val="00C45F56"/>
    <w:rsid w:val="00C52BD4"/>
    <w:rsid w:val="00C7321A"/>
    <w:rsid w:val="00C74869"/>
    <w:rsid w:val="00C762AF"/>
    <w:rsid w:val="00C81EC4"/>
    <w:rsid w:val="00CA313C"/>
    <w:rsid w:val="00CA37AF"/>
    <w:rsid w:val="00CA5880"/>
    <w:rsid w:val="00CC1100"/>
    <w:rsid w:val="00CC4E4C"/>
    <w:rsid w:val="00CC5160"/>
    <w:rsid w:val="00CD31F0"/>
    <w:rsid w:val="00CF0310"/>
    <w:rsid w:val="00CF4C9C"/>
    <w:rsid w:val="00D055BE"/>
    <w:rsid w:val="00D07989"/>
    <w:rsid w:val="00D1204F"/>
    <w:rsid w:val="00D15C64"/>
    <w:rsid w:val="00D17E48"/>
    <w:rsid w:val="00D2200C"/>
    <w:rsid w:val="00D30621"/>
    <w:rsid w:val="00D31426"/>
    <w:rsid w:val="00D36523"/>
    <w:rsid w:val="00D40AC3"/>
    <w:rsid w:val="00D41435"/>
    <w:rsid w:val="00D42AE3"/>
    <w:rsid w:val="00D553C8"/>
    <w:rsid w:val="00D5540E"/>
    <w:rsid w:val="00D6226C"/>
    <w:rsid w:val="00D67005"/>
    <w:rsid w:val="00D7749E"/>
    <w:rsid w:val="00D77554"/>
    <w:rsid w:val="00D86065"/>
    <w:rsid w:val="00D946F9"/>
    <w:rsid w:val="00DA6BE8"/>
    <w:rsid w:val="00DC4467"/>
    <w:rsid w:val="00DD1D8D"/>
    <w:rsid w:val="00DD564E"/>
    <w:rsid w:val="00DD66D5"/>
    <w:rsid w:val="00DD7BCF"/>
    <w:rsid w:val="00DE107D"/>
    <w:rsid w:val="00E127D1"/>
    <w:rsid w:val="00E16C31"/>
    <w:rsid w:val="00E1788F"/>
    <w:rsid w:val="00E27D12"/>
    <w:rsid w:val="00E31E56"/>
    <w:rsid w:val="00E327C4"/>
    <w:rsid w:val="00E329AB"/>
    <w:rsid w:val="00E35966"/>
    <w:rsid w:val="00E47D6E"/>
    <w:rsid w:val="00E5005D"/>
    <w:rsid w:val="00E61B97"/>
    <w:rsid w:val="00E738AB"/>
    <w:rsid w:val="00E76A97"/>
    <w:rsid w:val="00E92078"/>
    <w:rsid w:val="00EA1441"/>
    <w:rsid w:val="00EA66B6"/>
    <w:rsid w:val="00EA78F9"/>
    <w:rsid w:val="00EB0D0E"/>
    <w:rsid w:val="00EC2F24"/>
    <w:rsid w:val="00EC7465"/>
    <w:rsid w:val="00ED1874"/>
    <w:rsid w:val="00EE1674"/>
    <w:rsid w:val="00EE57B8"/>
    <w:rsid w:val="00EF0DE2"/>
    <w:rsid w:val="00EF1DFD"/>
    <w:rsid w:val="00F00F8D"/>
    <w:rsid w:val="00F02196"/>
    <w:rsid w:val="00F02AE0"/>
    <w:rsid w:val="00F14238"/>
    <w:rsid w:val="00F244F5"/>
    <w:rsid w:val="00F570C0"/>
    <w:rsid w:val="00F70A97"/>
    <w:rsid w:val="00F75B6E"/>
    <w:rsid w:val="00F803BC"/>
    <w:rsid w:val="00F80A17"/>
    <w:rsid w:val="00F819A3"/>
    <w:rsid w:val="00F85457"/>
    <w:rsid w:val="00F96236"/>
    <w:rsid w:val="00FA7E70"/>
    <w:rsid w:val="00FC3948"/>
    <w:rsid w:val="00FC5EDE"/>
    <w:rsid w:val="00FD1926"/>
    <w:rsid w:val="00FD6388"/>
    <w:rsid w:val="00FE696F"/>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4AA5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156"/>
    <w:pPr>
      <w:spacing w:line="276" w:lineRule="auto"/>
      <w:jc w:val="both"/>
    </w:pPr>
    <w:rPr>
      <w:sz w:val="24"/>
      <w:szCs w:val="24"/>
      <w:lang w:val="fr-CA" w:eastAsia="en-US"/>
    </w:rPr>
  </w:style>
  <w:style w:type="paragraph" w:styleId="Heading1">
    <w:name w:val="heading 1"/>
    <w:basedOn w:val="Normal"/>
    <w:next w:val="Normal"/>
    <w:link w:val="Heading1Char"/>
    <w:uiPriority w:val="9"/>
    <w:qFormat/>
    <w:rsid w:val="00E42980"/>
    <w:pPr>
      <w:keepNext/>
      <w:keepLines/>
      <w:spacing w:before="480"/>
      <w:outlineLvl w:val="0"/>
    </w:pPr>
    <w:rPr>
      <w:rFonts w:ascii="Calibri Light" w:eastAsia="MS Gothic" w:hAnsi="Calibri Light" w:cs="Times New Roman"/>
      <w:b/>
      <w:bCs/>
      <w:color w:val="2E74B5"/>
      <w:sz w:val="28"/>
      <w:szCs w:val="28"/>
      <w:lang w:val="x-none"/>
    </w:rPr>
  </w:style>
  <w:style w:type="paragraph" w:styleId="Heading2">
    <w:name w:val="heading 2"/>
    <w:basedOn w:val="Normal"/>
    <w:link w:val="Heading2Char"/>
    <w:uiPriority w:val="9"/>
    <w:qFormat/>
    <w:rsid w:val="00075866"/>
    <w:pPr>
      <w:spacing w:before="100" w:beforeAutospacing="1" w:after="100" w:afterAutospacing="1" w:line="240" w:lineRule="auto"/>
      <w:jc w:val="left"/>
      <w:outlineLvl w:val="1"/>
    </w:pPr>
    <w:rPr>
      <w:rFonts w:ascii="Times New Roman" w:hAnsi="Times New Roman" w:cs="Times New Roman"/>
      <w:b/>
      <w:bCs/>
      <w:sz w:val="36"/>
      <w:szCs w:val="36"/>
      <w:lang w:val="x-none" w:eastAsia="x-none"/>
    </w:rPr>
  </w:style>
  <w:style w:type="paragraph" w:styleId="Heading5">
    <w:name w:val="heading 5"/>
    <w:basedOn w:val="Normal"/>
    <w:next w:val="Normal"/>
    <w:link w:val="Heading5Char"/>
    <w:uiPriority w:val="9"/>
    <w:qFormat/>
    <w:rsid w:val="000478D3"/>
    <w:pPr>
      <w:keepNext/>
      <w:keepLines/>
      <w:spacing w:before="40"/>
      <w:outlineLvl w:val="4"/>
    </w:pPr>
    <w:rPr>
      <w:rFonts w:ascii="Calibri Light" w:eastAsia="MS Gothic" w:hAnsi="Calibri Light" w:cs="Times New Roman"/>
      <w:color w:val="2E74B5"/>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9649DF"/>
    <w:pPr>
      <w:ind w:left="720"/>
    </w:pPr>
  </w:style>
  <w:style w:type="paragraph" w:styleId="Footer">
    <w:name w:val="footer"/>
    <w:basedOn w:val="Normal"/>
    <w:link w:val="FooterChar"/>
    <w:uiPriority w:val="99"/>
    <w:unhideWhenUsed/>
    <w:rsid w:val="009649DF"/>
    <w:pPr>
      <w:tabs>
        <w:tab w:val="center" w:pos="4320"/>
        <w:tab w:val="right" w:pos="8640"/>
      </w:tabs>
      <w:spacing w:line="240" w:lineRule="auto"/>
    </w:pPr>
    <w:rPr>
      <w:rFonts w:cs="Times New Roman"/>
      <w:lang w:eastAsia="x-none"/>
    </w:rPr>
  </w:style>
  <w:style w:type="character" w:customStyle="1" w:styleId="FooterChar">
    <w:name w:val="Footer Char"/>
    <w:link w:val="Footer"/>
    <w:uiPriority w:val="99"/>
    <w:locked/>
    <w:rsid w:val="009649DF"/>
    <w:rPr>
      <w:rFonts w:ascii="Calibri" w:hAnsi="Calibri" w:cs="Calibri"/>
      <w:sz w:val="24"/>
      <w:szCs w:val="24"/>
      <w:lang w:val="fr-CA"/>
    </w:rPr>
  </w:style>
  <w:style w:type="character" w:styleId="Hyperlink">
    <w:name w:val="Hyperlink"/>
    <w:uiPriority w:val="99"/>
    <w:unhideWhenUsed/>
    <w:rsid w:val="00F06ABB"/>
    <w:rPr>
      <w:rFonts w:cs="Times New Roman"/>
      <w:color w:val="0000FF"/>
      <w:u w:val="single"/>
    </w:rPr>
  </w:style>
  <w:style w:type="paragraph" w:styleId="NormalWeb">
    <w:name w:val="Normal (Web)"/>
    <w:basedOn w:val="Normal"/>
    <w:uiPriority w:val="99"/>
    <w:unhideWhenUsed/>
    <w:rsid w:val="00524F24"/>
    <w:pPr>
      <w:spacing w:before="100" w:beforeAutospacing="1" w:after="100" w:afterAutospacing="1" w:line="240" w:lineRule="auto"/>
      <w:jc w:val="left"/>
    </w:pPr>
    <w:rPr>
      <w:rFonts w:ascii="Times New Roman" w:hAnsi="Times New Roman" w:cs="Times New Roman"/>
      <w:lang w:val="en-CA" w:eastAsia="en-CA"/>
    </w:rPr>
  </w:style>
  <w:style w:type="paragraph" w:styleId="BalloonText">
    <w:name w:val="Balloon Text"/>
    <w:basedOn w:val="Normal"/>
    <w:link w:val="BalloonTextChar"/>
    <w:uiPriority w:val="99"/>
    <w:semiHidden/>
    <w:unhideWhenUsed/>
    <w:rsid w:val="00777595"/>
    <w:pPr>
      <w:spacing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locked/>
    <w:rsid w:val="00777595"/>
    <w:rPr>
      <w:rFonts w:ascii="Tahoma" w:hAnsi="Tahoma" w:cs="Tahoma"/>
      <w:sz w:val="16"/>
      <w:szCs w:val="16"/>
      <w:lang w:val="fr-CA"/>
    </w:rPr>
  </w:style>
  <w:style w:type="character" w:styleId="CommentReference">
    <w:name w:val="annotation reference"/>
    <w:uiPriority w:val="99"/>
    <w:semiHidden/>
    <w:unhideWhenUsed/>
    <w:rsid w:val="00C44DDA"/>
    <w:rPr>
      <w:rFonts w:cs="Times New Roman"/>
      <w:sz w:val="16"/>
      <w:szCs w:val="16"/>
    </w:rPr>
  </w:style>
  <w:style w:type="paragraph" w:styleId="CommentText">
    <w:name w:val="annotation text"/>
    <w:basedOn w:val="Normal"/>
    <w:link w:val="CommentTextChar"/>
    <w:uiPriority w:val="99"/>
    <w:semiHidden/>
    <w:unhideWhenUsed/>
    <w:rsid w:val="00C44DDA"/>
    <w:pPr>
      <w:spacing w:line="240" w:lineRule="auto"/>
    </w:pPr>
    <w:rPr>
      <w:rFonts w:cs="Times New Roman"/>
      <w:sz w:val="20"/>
      <w:szCs w:val="20"/>
      <w:lang w:eastAsia="x-none"/>
    </w:rPr>
  </w:style>
  <w:style w:type="character" w:customStyle="1" w:styleId="CommentTextChar">
    <w:name w:val="Comment Text Char"/>
    <w:link w:val="CommentText"/>
    <w:uiPriority w:val="99"/>
    <w:semiHidden/>
    <w:locked/>
    <w:rsid w:val="00C44DDA"/>
    <w:rPr>
      <w:rFonts w:ascii="Calibri" w:hAnsi="Calibri" w:cs="Calibri"/>
      <w:sz w:val="20"/>
      <w:szCs w:val="20"/>
      <w:lang w:val="fr-CA"/>
    </w:rPr>
  </w:style>
  <w:style w:type="paragraph" w:styleId="CommentSubject">
    <w:name w:val="annotation subject"/>
    <w:basedOn w:val="CommentText"/>
    <w:next w:val="CommentText"/>
    <w:link w:val="CommentSubjectChar"/>
    <w:uiPriority w:val="99"/>
    <w:semiHidden/>
    <w:unhideWhenUsed/>
    <w:rsid w:val="00C44DDA"/>
    <w:rPr>
      <w:b/>
      <w:bCs/>
    </w:rPr>
  </w:style>
  <w:style w:type="character" w:customStyle="1" w:styleId="CommentSubjectChar">
    <w:name w:val="Comment Subject Char"/>
    <w:link w:val="CommentSubject"/>
    <w:uiPriority w:val="99"/>
    <w:semiHidden/>
    <w:locked/>
    <w:rsid w:val="00C44DDA"/>
    <w:rPr>
      <w:rFonts w:ascii="Calibri" w:hAnsi="Calibri" w:cs="Calibri"/>
      <w:b/>
      <w:bCs/>
      <w:sz w:val="20"/>
      <w:szCs w:val="20"/>
      <w:lang w:val="fr-CA"/>
    </w:rPr>
  </w:style>
  <w:style w:type="character" w:styleId="Strong">
    <w:name w:val="Strong"/>
    <w:uiPriority w:val="22"/>
    <w:qFormat/>
    <w:rsid w:val="00AF6279"/>
    <w:rPr>
      <w:rFonts w:cs="Times New Roman"/>
      <w:b/>
      <w:bCs/>
    </w:rPr>
  </w:style>
  <w:style w:type="table" w:styleId="TableGrid">
    <w:name w:val="Table Grid"/>
    <w:basedOn w:val="TableNormal"/>
    <w:uiPriority w:val="59"/>
    <w:rsid w:val="003128B8"/>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FootnoteText">
    <w:name w:val="footnote text"/>
    <w:basedOn w:val="Normal"/>
    <w:link w:val="FootnoteTextChar"/>
    <w:uiPriority w:val="99"/>
    <w:unhideWhenUsed/>
    <w:rsid w:val="003E210E"/>
    <w:pPr>
      <w:spacing w:line="240" w:lineRule="auto"/>
      <w:jc w:val="left"/>
    </w:pPr>
    <w:rPr>
      <w:rFonts w:cs="Times New Roman"/>
      <w:sz w:val="20"/>
      <w:szCs w:val="20"/>
      <w:lang w:eastAsia="fr-CA"/>
    </w:rPr>
  </w:style>
  <w:style w:type="character" w:customStyle="1" w:styleId="FootnoteTextChar">
    <w:name w:val="Footnote Text Char"/>
    <w:link w:val="FootnoteText"/>
    <w:uiPriority w:val="99"/>
    <w:locked/>
    <w:rsid w:val="003E210E"/>
    <w:rPr>
      <w:rFonts w:ascii="Calibri" w:hAnsi="Calibri" w:cs="Times New Roman"/>
      <w:sz w:val="20"/>
      <w:szCs w:val="20"/>
      <w:lang w:val="fr-CA" w:eastAsia="fr-CA"/>
    </w:rPr>
  </w:style>
  <w:style w:type="character" w:styleId="FootnoteReference">
    <w:name w:val="footnote reference"/>
    <w:uiPriority w:val="99"/>
    <w:unhideWhenUsed/>
    <w:rsid w:val="003E210E"/>
    <w:rPr>
      <w:rFonts w:cs="Times New Roman"/>
      <w:vertAlign w:val="superscript"/>
    </w:rPr>
  </w:style>
  <w:style w:type="paragraph" w:styleId="EndnoteText">
    <w:name w:val="endnote text"/>
    <w:basedOn w:val="Normal"/>
    <w:link w:val="EndnoteTextChar"/>
    <w:uiPriority w:val="99"/>
    <w:semiHidden/>
    <w:unhideWhenUsed/>
    <w:rsid w:val="009B78FE"/>
    <w:pPr>
      <w:spacing w:line="240" w:lineRule="auto"/>
    </w:pPr>
    <w:rPr>
      <w:rFonts w:cs="Times New Roman"/>
      <w:sz w:val="20"/>
      <w:szCs w:val="20"/>
      <w:lang w:eastAsia="x-none"/>
    </w:rPr>
  </w:style>
  <w:style w:type="character" w:customStyle="1" w:styleId="EndnoteTextChar">
    <w:name w:val="Endnote Text Char"/>
    <w:link w:val="EndnoteText"/>
    <w:uiPriority w:val="99"/>
    <w:semiHidden/>
    <w:locked/>
    <w:rsid w:val="009B78FE"/>
    <w:rPr>
      <w:rFonts w:ascii="Calibri" w:hAnsi="Calibri" w:cs="Calibri"/>
      <w:sz w:val="20"/>
      <w:szCs w:val="20"/>
      <w:lang w:val="fr-CA"/>
    </w:rPr>
  </w:style>
  <w:style w:type="character" w:styleId="EndnoteReference">
    <w:name w:val="endnote reference"/>
    <w:uiPriority w:val="99"/>
    <w:semiHidden/>
    <w:unhideWhenUsed/>
    <w:rsid w:val="009B78FE"/>
    <w:rPr>
      <w:rFonts w:cs="Times New Roman"/>
      <w:vertAlign w:val="superscript"/>
    </w:rPr>
  </w:style>
  <w:style w:type="paragraph" w:customStyle="1" w:styleId="ecxmsonormal">
    <w:name w:val="ecxmsonormal"/>
    <w:basedOn w:val="Normal"/>
    <w:rsid w:val="00636829"/>
    <w:pPr>
      <w:spacing w:after="324" w:line="240" w:lineRule="auto"/>
      <w:jc w:val="left"/>
    </w:pPr>
    <w:rPr>
      <w:rFonts w:ascii="Times New Roman" w:hAnsi="Times New Roman" w:cs="Times New Roman"/>
      <w:lang w:val="en-US"/>
    </w:rPr>
  </w:style>
  <w:style w:type="paragraph" w:customStyle="1" w:styleId="Default">
    <w:name w:val="Default"/>
    <w:rsid w:val="006E0F6E"/>
    <w:pPr>
      <w:autoSpaceDE w:val="0"/>
      <w:autoSpaceDN w:val="0"/>
      <w:adjustRightInd w:val="0"/>
    </w:pPr>
    <w:rPr>
      <w:rFonts w:ascii="American Typewriter" w:hAnsi="American Typewriter" w:cs="American Typewriter"/>
      <w:color w:val="000000"/>
      <w:sz w:val="24"/>
      <w:szCs w:val="24"/>
      <w:lang w:val="fr-CA" w:eastAsia="en-US"/>
    </w:rPr>
  </w:style>
  <w:style w:type="character" w:customStyle="1" w:styleId="A0">
    <w:name w:val="A0"/>
    <w:uiPriority w:val="99"/>
    <w:rsid w:val="006E0F6E"/>
    <w:rPr>
      <w:color w:val="000000"/>
      <w:sz w:val="18"/>
    </w:rPr>
  </w:style>
  <w:style w:type="paragraph" w:customStyle="1" w:styleId="Pa0">
    <w:name w:val="Pa0"/>
    <w:basedOn w:val="Default"/>
    <w:next w:val="Default"/>
    <w:uiPriority w:val="99"/>
    <w:rsid w:val="006E0F6E"/>
    <w:pPr>
      <w:spacing w:line="241" w:lineRule="atLeast"/>
    </w:pPr>
    <w:rPr>
      <w:rFonts w:cs="Arial"/>
      <w:color w:val="auto"/>
    </w:rPr>
  </w:style>
  <w:style w:type="paragraph" w:customStyle="1" w:styleId="Pa1">
    <w:name w:val="Pa1"/>
    <w:basedOn w:val="Default"/>
    <w:next w:val="Default"/>
    <w:uiPriority w:val="99"/>
    <w:rsid w:val="006E0F6E"/>
    <w:pPr>
      <w:spacing w:line="241" w:lineRule="atLeast"/>
    </w:pPr>
    <w:rPr>
      <w:rFonts w:cs="Arial"/>
      <w:color w:val="auto"/>
    </w:rPr>
  </w:style>
  <w:style w:type="character" w:customStyle="1" w:styleId="A3">
    <w:name w:val="A3"/>
    <w:uiPriority w:val="99"/>
    <w:rsid w:val="006E0F6E"/>
    <w:rPr>
      <w:color w:val="000000"/>
      <w:sz w:val="32"/>
    </w:rPr>
  </w:style>
  <w:style w:type="character" w:customStyle="1" w:styleId="apple-converted-space">
    <w:name w:val="apple-converted-space"/>
    <w:rsid w:val="00D33F38"/>
    <w:rPr>
      <w:rFonts w:cs="Times New Roman"/>
    </w:rPr>
  </w:style>
  <w:style w:type="paragraph" w:customStyle="1" w:styleId="Style2">
    <w:name w:val="Style 2"/>
    <w:rsid w:val="00BF0D54"/>
    <w:pPr>
      <w:widowControl w:val="0"/>
      <w:autoSpaceDE w:val="0"/>
      <w:autoSpaceDN w:val="0"/>
      <w:spacing w:before="216"/>
      <w:jc w:val="both"/>
    </w:pPr>
    <w:rPr>
      <w:rFonts w:ascii="Times New Roman" w:hAnsi="Times New Roman" w:cs="Times New Roman"/>
      <w:sz w:val="24"/>
      <w:szCs w:val="24"/>
      <w:lang w:val="en-US" w:eastAsia="en-US"/>
    </w:rPr>
  </w:style>
  <w:style w:type="paragraph" w:styleId="Header">
    <w:name w:val="header"/>
    <w:basedOn w:val="Normal"/>
    <w:link w:val="HeaderChar"/>
    <w:uiPriority w:val="99"/>
    <w:semiHidden/>
    <w:unhideWhenUsed/>
    <w:rsid w:val="0017121D"/>
    <w:pPr>
      <w:tabs>
        <w:tab w:val="center" w:pos="4320"/>
        <w:tab w:val="right" w:pos="8640"/>
      </w:tabs>
      <w:spacing w:line="240" w:lineRule="auto"/>
    </w:pPr>
    <w:rPr>
      <w:rFonts w:cs="Times New Roman"/>
      <w:lang w:eastAsia="x-none"/>
    </w:rPr>
  </w:style>
  <w:style w:type="character" w:customStyle="1" w:styleId="HeaderChar">
    <w:name w:val="Header Char"/>
    <w:link w:val="Header"/>
    <w:uiPriority w:val="99"/>
    <w:semiHidden/>
    <w:locked/>
    <w:rsid w:val="0017121D"/>
    <w:rPr>
      <w:rFonts w:ascii="Calibri" w:hAnsi="Calibri" w:cs="Calibri"/>
      <w:sz w:val="24"/>
      <w:szCs w:val="24"/>
      <w:lang w:val="fr-CA"/>
    </w:rPr>
  </w:style>
  <w:style w:type="character" w:styleId="FollowedHyperlink">
    <w:name w:val="FollowedHyperlink"/>
    <w:uiPriority w:val="99"/>
    <w:semiHidden/>
    <w:unhideWhenUsed/>
    <w:rsid w:val="009E7970"/>
    <w:rPr>
      <w:rFonts w:cs="Times New Roman"/>
      <w:color w:val="800080"/>
      <w:u w:val="single"/>
    </w:rPr>
  </w:style>
  <w:style w:type="character" w:styleId="Emphasis">
    <w:name w:val="Emphasis"/>
    <w:uiPriority w:val="20"/>
    <w:qFormat/>
    <w:rsid w:val="008559DA"/>
    <w:rPr>
      <w:rFonts w:cs="Times New Roman"/>
      <w:i/>
      <w:iCs/>
    </w:rPr>
  </w:style>
  <w:style w:type="paragraph" w:styleId="NoSpacing">
    <w:name w:val="No Spacing"/>
    <w:uiPriority w:val="1"/>
    <w:qFormat/>
    <w:rsid w:val="00121BCD"/>
    <w:pPr>
      <w:jc w:val="both"/>
    </w:pPr>
    <w:rPr>
      <w:sz w:val="24"/>
      <w:szCs w:val="24"/>
      <w:lang w:val="fr-CA" w:eastAsia="en-US"/>
    </w:rPr>
  </w:style>
  <w:style w:type="character" w:customStyle="1" w:styleId="gold">
    <w:name w:val="gold"/>
    <w:rsid w:val="00597A58"/>
    <w:rPr>
      <w:rFonts w:cs="Times New Roman"/>
    </w:rPr>
  </w:style>
  <w:style w:type="character" w:customStyle="1" w:styleId="ccbnnewstxt">
    <w:name w:val="ccbnnewstxt"/>
    <w:basedOn w:val="DefaultParagraphFont"/>
    <w:rsid w:val="00F34D83"/>
  </w:style>
  <w:style w:type="character" w:customStyle="1" w:styleId="Heading2Char">
    <w:name w:val="Heading 2 Char"/>
    <w:link w:val="Heading2"/>
    <w:uiPriority w:val="9"/>
    <w:rsid w:val="00075866"/>
    <w:rPr>
      <w:rFonts w:ascii="Times New Roman" w:hAnsi="Times New Roman" w:cs="Times New Roman"/>
      <w:b/>
      <w:bCs/>
      <w:sz w:val="36"/>
      <w:szCs w:val="36"/>
    </w:rPr>
  </w:style>
  <w:style w:type="character" w:customStyle="1" w:styleId="Heading1Char">
    <w:name w:val="Heading 1 Char"/>
    <w:link w:val="Heading1"/>
    <w:uiPriority w:val="9"/>
    <w:rsid w:val="00E42980"/>
    <w:rPr>
      <w:rFonts w:ascii="Calibri Light" w:eastAsia="MS Gothic" w:hAnsi="Calibri Light" w:cs="Times New Roman"/>
      <w:b/>
      <w:bCs/>
      <w:color w:val="2E74B5"/>
      <w:sz w:val="28"/>
      <w:szCs w:val="28"/>
      <w:lang w:eastAsia="en-US"/>
    </w:rPr>
  </w:style>
  <w:style w:type="character" w:customStyle="1" w:styleId="Heading5Char">
    <w:name w:val="Heading 5 Char"/>
    <w:link w:val="Heading5"/>
    <w:uiPriority w:val="9"/>
    <w:rsid w:val="000478D3"/>
    <w:rPr>
      <w:rFonts w:ascii="Calibri Light" w:eastAsia="MS Gothic" w:hAnsi="Calibri Light" w:cs="Times New Roman"/>
      <w:color w:val="2E74B5"/>
      <w:sz w:val="24"/>
      <w:szCs w:val="24"/>
      <w:lang w:eastAsia="en-US"/>
    </w:rPr>
  </w:style>
  <w:style w:type="paragraph" w:styleId="Revision">
    <w:name w:val="Revision"/>
    <w:hidden/>
    <w:uiPriority w:val="99"/>
    <w:semiHidden/>
    <w:rsid w:val="00670255"/>
    <w:rPr>
      <w:sz w:val="24"/>
      <w:szCs w:val="24"/>
      <w:lang w:val="fr-CA" w:eastAsia="en-US"/>
    </w:rPr>
  </w:style>
  <w:style w:type="character" w:customStyle="1" w:styleId="EasyID">
    <w:name w:val="EasyID"/>
    <w:rsid w:val="00510D81"/>
    <w:rPr>
      <w:rFonts w:ascii="Arial" w:hAnsi="Arial" w:cs="Arial"/>
      <w:color w:val="auto"/>
      <w:sz w:val="14"/>
      <w:szCs w:val="20"/>
      <w:lang w:val="en-US" w:eastAsia="en-US" w:bidi="ar-SA"/>
    </w:rPr>
  </w:style>
  <w:style w:type="character" w:customStyle="1" w:styleId="Lienhypertexte1">
    <w:name w:val="Lien hypertexte1"/>
    <w:uiPriority w:val="99"/>
    <w:unhideWhenUsed/>
    <w:rsid w:val="00503851"/>
    <w:rPr>
      <w:rFonts w:cs="Times New Roman"/>
      <w:color w:val="0000FF"/>
      <w:u w:val="single"/>
    </w:rPr>
  </w:style>
  <w:style w:type="character" w:customStyle="1" w:styleId="Mentionnonrsolue1">
    <w:name w:val="Mention non résolue1"/>
    <w:basedOn w:val="DefaultParagraphFont"/>
    <w:uiPriority w:val="99"/>
    <w:semiHidden/>
    <w:unhideWhenUsed/>
    <w:rsid w:val="00A95ACD"/>
    <w:rPr>
      <w:color w:val="605E5C"/>
      <w:shd w:val="clear" w:color="auto" w:fill="E1DFDD"/>
    </w:rPr>
  </w:style>
  <w:style w:type="character" w:styleId="UnresolvedMention">
    <w:name w:val="Unresolved Mention"/>
    <w:basedOn w:val="DefaultParagraphFont"/>
    <w:uiPriority w:val="99"/>
    <w:semiHidden/>
    <w:unhideWhenUsed/>
    <w:rsid w:val="002A6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3812">
      <w:bodyDiv w:val="1"/>
      <w:marLeft w:val="0"/>
      <w:marRight w:val="0"/>
      <w:marTop w:val="0"/>
      <w:marBottom w:val="0"/>
      <w:divBdr>
        <w:top w:val="none" w:sz="0" w:space="0" w:color="auto"/>
        <w:left w:val="none" w:sz="0" w:space="0" w:color="auto"/>
        <w:bottom w:val="none" w:sz="0" w:space="0" w:color="auto"/>
        <w:right w:val="none" w:sz="0" w:space="0" w:color="auto"/>
      </w:divBdr>
    </w:div>
    <w:div w:id="661813172">
      <w:bodyDiv w:val="1"/>
      <w:marLeft w:val="0"/>
      <w:marRight w:val="0"/>
      <w:marTop w:val="0"/>
      <w:marBottom w:val="0"/>
      <w:divBdr>
        <w:top w:val="none" w:sz="0" w:space="0" w:color="auto"/>
        <w:left w:val="none" w:sz="0" w:space="0" w:color="auto"/>
        <w:bottom w:val="none" w:sz="0" w:space="0" w:color="auto"/>
        <w:right w:val="none" w:sz="0" w:space="0" w:color="auto"/>
      </w:divBdr>
    </w:div>
    <w:div w:id="778909587">
      <w:bodyDiv w:val="1"/>
      <w:marLeft w:val="0"/>
      <w:marRight w:val="0"/>
      <w:marTop w:val="0"/>
      <w:marBottom w:val="0"/>
      <w:divBdr>
        <w:top w:val="none" w:sz="0" w:space="0" w:color="auto"/>
        <w:left w:val="none" w:sz="0" w:space="0" w:color="auto"/>
        <w:bottom w:val="none" w:sz="0" w:space="0" w:color="auto"/>
        <w:right w:val="none" w:sz="0" w:space="0" w:color="auto"/>
      </w:divBdr>
    </w:div>
    <w:div w:id="790367564">
      <w:bodyDiv w:val="1"/>
      <w:marLeft w:val="0"/>
      <w:marRight w:val="0"/>
      <w:marTop w:val="0"/>
      <w:marBottom w:val="0"/>
      <w:divBdr>
        <w:top w:val="none" w:sz="0" w:space="0" w:color="auto"/>
        <w:left w:val="none" w:sz="0" w:space="0" w:color="auto"/>
        <w:bottom w:val="none" w:sz="0" w:space="0" w:color="auto"/>
        <w:right w:val="none" w:sz="0" w:space="0" w:color="auto"/>
      </w:divBdr>
    </w:div>
    <w:div w:id="1457794443">
      <w:bodyDiv w:val="1"/>
      <w:marLeft w:val="0"/>
      <w:marRight w:val="0"/>
      <w:marTop w:val="0"/>
      <w:marBottom w:val="0"/>
      <w:divBdr>
        <w:top w:val="none" w:sz="0" w:space="0" w:color="auto"/>
        <w:left w:val="none" w:sz="0" w:space="0" w:color="auto"/>
        <w:bottom w:val="none" w:sz="0" w:space="0" w:color="auto"/>
        <w:right w:val="none" w:sz="0" w:space="0" w:color="auto"/>
      </w:divBdr>
    </w:div>
    <w:div w:id="1673332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omega.ca"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eomega.ca/fr/geomega-fera-progresser-lhydrometallurgie-de-son-gisement-de-terres-rares-montviel-avec-lappui-du-gouvernement-du-quebe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nancyt@vorticom.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mugerman@Geomeg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36D6B3C251146A8A3AE90BD886306" ma:contentTypeVersion="12" ma:contentTypeDescription="Crée un document." ma:contentTypeScope="" ma:versionID="fcd4640211856bc7fd88d7b8dd83c1b6">
  <xsd:schema xmlns:xsd="http://www.w3.org/2001/XMLSchema" xmlns:xs="http://www.w3.org/2001/XMLSchema" xmlns:p="http://schemas.microsoft.com/office/2006/metadata/properties" xmlns:ns2="bda1b83d-46b9-4fbf-869a-190dfd13ae9e" xmlns:ns3="2ea43c2f-bb44-4bf8-b1cb-5f94f3bebdd2" targetNamespace="http://schemas.microsoft.com/office/2006/metadata/properties" ma:root="true" ma:fieldsID="83557971d5ed5cb66e81ca4ebb69c55e" ns2:_="" ns3:_="">
    <xsd:import namespace="bda1b83d-46b9-4fbf-869a-190dfd13ae9e"/>
    <xsd:import namespace="2ea43c2f-bb44-4bf8-b1cb-5f94f3bebd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1b83d-46b9-4fbf-869a-190dfd13a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a43c2f-bb44-4bf8-b1cb-5f94f3bebdd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10C3D-A99B-4972-A1A8-D236DDB10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1b83d-46b9-4fbf-869a-190dfd13ae9e"/>
    <ds:schemaRef ds:uri="2ea43c2f-bb44-4bf8-b1cb-5f94f3beb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506A2-E6A1-40AE-A31A-D164D8215A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C0D885-90D9-4178-BC75-FCDE66F9B4F3}">
  <ds:schemaRefs>
    <ds:schemaRef ds:uri="http://schemas.microsoft.com/sharepoint/v3/contenttype/forms"/>
  </ds:schemaRefs>
</ds:datastoreItem>
</file>

<file path=customXml/itemProps4.xml><?xml version="1.0" encoding="utf-8"?>
<ds:datastoreItem xmlns:ds="http://schemas.openxmlformats.org/officeDocument/2006/customXml" ds:itemID="{34E522D4-DFE0-4246-95EB-25BE129FA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7716</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9051</CharactersWithSpaces>
  <SharedDoc>false</SharedDoc>
  <HLinks>
    <vt:vector size="12" baseType="variant">
      <vt:variant>
        <vt:i4>4325417</vt:i4>
      </vt:variant>
      <vt:variant>
        <vt:i4>3</vt:i4>
      </vt:variant>
      <vt:variant>
        <vt:i4>0</vt:i4>
      </vt:variant>
      <vt:variant>
        <vt:i4>5</vt:i4>
      </vt:variant>
      <vt:variant>
        <vt:lpwstr>https://geomega.sharepoint.com/Dveloppement Corporatif/Press Releases/2015/09. September/kmugerman@geomega.ca</vt:lpwstr>
      </vt:variant>
      <vt:variant>
        <vt:lpwstr/>
      </vt:variant>
      <vt:variant>
        <vt:i4>7012464</vt:i4>
      </vt:variant>
      <vt:variant>
        <vt:i4>0</vt:i4>
      </vt:variant>
      <vt:variant>
        <vt:i4>0</vt:i4>
      </vt:variant>
      <vt:variant>
        <vt:i4>5</vt:i4>
      </vt:variant>
      <vt:variant>
        <vt:lpwstr>http://www.geomega.ca/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2017-10-20T13:55:00Z</cp:lastPrinted>
  <dcterms:created xsi:type="dcterms:W3CDTF">2024-01-26T13:49:00Z</dcterms:created>
  <dcterms:modified xsi:type="dcterms:W3CDTF">2024-01-26T13:49:00Z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0x010100B1B36D6B3C251146A8A3AE90BD886306</vt:lpwstr>
  </property>
</Properties>
</file>