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EA84" w14:textId="77777777" w:rsidR="008F5F61" w:rsidRPr="00831873" w:rsidRDefault="008F5F61">
      <w:pPr>
        <w:rPr>
          <w:vanish/>
          <w:sz w:val="2"/>
        </w:rPr>
      </w:pPr>
    </w:p>
    <w:tbl>
      <w:tblPr>
        <w:tblW w:w="10750" w:type="dxa"/>
        <w:tblBorders>
          <w:insideH w:val="single" w:sz="4" w:space="0" w:color="auto"/>
        </w:tblBorders>
        <w:tblLook w:val="04A0" w:firstRow="1" w:lastRow="0" w:firstColumn="1" w:lastColumn="0" w:noHBand="0" w:noVBand="1"/>
      </w:tblPr>
      <w:tblGrid>
        <w:gridCol w:w="4017"/>
        <w:gridCol w:w="3390"/>
        <w:gridCol w:w="3343"/>
      </w:tblGrid>
      <w:tr w:rsidR="008F5F61" w:rsidRPr="002B5A04" w14:paraId="0A868751" w14:textId="77777777" w:rsidTr="00C0560F">
        <w:trPr>
          <w:trHeight w:val="209"/>
        </w:trPr>
        <w:tc>
          <w:tcPr>
            <w:tcW w:w="4017" w:type="dxa"/>
            <w:tcBorders>
              <w:top w:val="nil"/>
              <w:left w:val="nil"/>
              <w:bottom w:val="nil"/>
              <w:right w:val="nil"/>
            </w:tcBorders>
          </w:tcPr>
          <w:p w14:paraId="164F9BDA" w14:textId="70F01932" w:rsidR="008F5F61" w:rsidRPr="00036D36" w:rsidRDefault="008F5F61" w:rsidP="008F5F61">
            <w:pPr>
              <w:spacing w:line="240" w:lineRule="auto"/>
              <w:jc w:val="left"/>
              <w:rPr>
                <w:b/>
                <w:bCs/>
                <w:sz w:val="28"/>
                <w:szCs w:val="28"/>
              </w:rPr>
            </w:pPr>
          </w:p>
        </w:tc>
        <w:tc>
          <w:tcPr>
            <w:tcW w:w="3390" w:type="dxa"/>
            <w:tcBorders>
              <w:top w:val="nil"/>
              <w:left w:val="nil"/>
              <w:bottom w:val="nil"/>
              <w:right w:val="nil"/>
            </w:tcBorders>
          </w:tcPr>
          <w:p w14:paraId="071AC221" w14:textId="1B76D9E2" w:rsidR="008F5F61" w:rsidRPr="00036D36" w:rsidRDefault="001D0A35" w:rsidP="008F5F61">
            <w:pPr>
              <w:spacing w:line="240" w:lineRule="auto"/>
              <w:jc w:val="right"/>
              <w:rPr>
                <w:b/>
                <w:bCs/>
                <w:sz w:val="28"/>
                <w:szCs w:val="28"/>
              </w:rPr>
            </w:pPr>
            <w:r>
              <w:rPr>
                <w:b/>
                <w:noProof/>
                <w:sz w:val="28"/>
                <w:szCs w:val="28"/>
                <w:lang w:eastAsia="fr-CA"/>
              </w:rPr>
              <w:drawing>
                <wp:anchor distT="0" distB="0" distL="114300" distR="114300" simplePos="0" relativeHeight="251659264" behindDoc="1" locked="0" layoutInCell="1" allowOverlap="1" wp14:anchorId="0B35EB7B" wp14:editId="62836C3E">
                  <wp:simplePos x="0" y="0"/>
                  <wp:positionH relativeFrom="column">
                    <wp:posOffset>-68580</wp:posOffset>
                  </wp:positionH>
                  <wp:positionV relativeFrom="paragraph">
                    <wp:posOffset>539750</wp:posOffset>
                  </wp:positionV>
                  <wp:extent cx="1707515" cy="612775"/>
                  <wp:effectExtent l="0" t="0" r="6985" b="0"/>
                  <wp:wrapTight wrapText="bothSides">
                    <wp:wrapPolygon edited="0">
                      <wp:start x="2410" y="0"/>
                      <wp:lineTo x="0" y="4029"/>
                      <wp:lineTo x="0" y="16788"/>
                      <wp:lineTo x="2410" y="20817"/>
                      <wp:lineTo x="4097" y="20817"/>
                      <wp:lineTo x="21447" y="17459"/>
                      <wp:lineTo x="21447" y="5372"/>
                      <wp:lineTo x="18797" y="4029"/>
                      <wp:lineTo x="4097" y="0"/>
                      <wp:lineTo x="241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84737" name="Image 1" descr="GEOMEGA_LOGO (3)"/>
                          <pic:cNvPicPr>
                            <a:picLocks noChangeAspect="1" noChangeArrowheads="1"/>
                          </pic:cNvPicPr>
                        </pic:nvPicPr>
                        <pic:blipFill>
                          <a:blip r:embed="rId11"/>
                          <a:stretch>
                            <a:fillRect/>
                          </a:stretch>
                        </pic:blipFill>
                        <pic:spPr bwMode="auto">
                          <a:xfrm>
                            <a:off x="0" y="0"/>
                            <a:ext cx="1707515" cy="612775"/>
                          </a:xfrm>
                          <a:prstGeom prst="rect">
                            <a:avLst/>
                          </a:prstGeom>
                          <a:noFill/>
                          <a:ln>
                            <a:noFill/>
                          </a:ln>
                        </pic:spPr>
                      </pic:pic>
                    </a:graphicData>
                  </a:graphic>
                </wp:anchor>
              </w:drawing>
            </w:r>
          </w:p>
        </w:tc>
        <w:tc>
          <w:tcPr>
            <w:tcW w:w="3343" w:type="dxa"/>
            <w:tcBorders>
              <w:top w:val="nil"/>
              <w:left w:val="nil"/>
              <w:bottom w:val="nil"/>
              <w:right w:val="nil"/>
            </w:tcBorders>
          </w:tcPr>
          <w:p w14:paraId="28962DDA" w14:textId="7EB6932A" w:rsidR="008F5F61" w:rsidRPr="002302E4" w:rsidRDefault="008F5F61" w:rsidP="008F5F61">
            <w:pPr>
              <w:spacing w:line="240" w:lineRule="auto"/>
              <w:jc w:val="right"/>
              <w:rPr>
                <w:b/>
                <w:bCs/>
                <w:sz w:val="20"/>
                <w:szCs w:val="20"/>
              </w:rPr>
            </w:pPr>
            <w:r w:rsidRPr="002302E4">
              <w:rPr>
                <w:b/>
                <w:bCs/>
                <w:sz w:val="20"/>
                <w:szCs w:val="20"/>
              </w:rPr>
              <w:t>COMMUNIQUÉ DE PRESSE</w:t>
            </w:r>
          </w:p>
          <w:p w14:paraId="2469D113" w14:textId="7E2CE5BF" w:rsidR="008F5F61" w:rsidRPr="002B5A04" w:rsidRDefault="008F5F61" w:rsidP="008F5F61">
            <w:pPr>
              <w:spacing w:line="240" w:lineRule="auto"/>
              <w:jc w:val="right"/>
              <w:rPr>
                <w:bCs/>
                <w:sz w:val="28"/>
                <w:szCs w:val="28"/>
              </w:rPr>
            </w:pPr>
            <w:r w:rsidRPr="002302E4">
              <w:rPr>
                <w:b/>
                <w:bCs/>
                <w:sz w:val="20"/>
                <w:szCs w:val="20"/>
              </w:rPr>
              <w:t>Pour distribution immédiate</w:t>
            </w:r>
          </w:p>
        </w:tc>
      </w:tr>
      <w:tr w:rsidR="00C0560F" w:rsidRPr="002B5A04" w14:paraId="44614F86" w14:textId="77777777" w:rsidTr="00C0560F">
        <w:trPr>
          <w:trHeight w:val="209"/>
        </w:trPr>
        <w:tc>
          <w:tcPr>
            <w:tcW w:w="4017" w:type="dxa"/>
            <w:tcBorders>
              <w:top w:val="nil"/>
              <w:left w:val="nil"/>
              <w:bottom w:val="nil"/>
              <w:right w:val="nil"/>
            </w:tcBorders>
          </w:tcPr>
          <w:p w14:paraId="7BF42D08" w14:textId="77777777" w:rsidR="00C0560F" w:rsidRDefault="00C0560F" w:rsidP="008F5F61">
            <w:pPr>
              <w:spacing w:line="240" w:lineRule="auto"/>
              <w:jc w:val="left"/>
              <w:rPr>
                <w:noProof/>
              </w:rPr>
            </w:pPr>
          </w:p>
        </w:tc>
        <w:tc>
          <w:tcPr>
            <w:tcW w:w="3390" w:type="dxa"/>
            <w:tcBorders>
              <w:top w:val="nil"/>
              <w:left w:val="nil"/>
              <w:bottom w:val="nil"/>
              <w:right w:val="nil"/>
            </w:tcBorders>
          </w:tcPr>
          <w:p w14:paraId="61709253" w14:textId="57D24585" w:rsidR="00C0560F" w:rsidRPr="00CD31F0" w:rsidRDefault="00C0560F" w:rsidP="00C0560F">
            <w:pPr>
              <w:spacing w:line="240" w:lineRule="auto"/>
              <w:rPr>
                <w:b/>
                <w:noProof/>
                <w:sz w:val="28"/>
                <w:szCs w:val="28"/>
              </w:rPr>
            </w:pPr>
          </w:p>
        </w:tc>
        <w:tc>
          <w:tcPr>
            <w:tcW w:w="3343" w:type="dxa"/>
            <w:tcBorders>
              <w:top w:val="nil"/>
              <w:left w:val="nil"/>
              <w:bottom w:val="nil"/>
              <w:right w:val="nil"/>
            </w:tcBorders>
          </w:tcPr>
          <w:p w14:paraId="36AA7543" w14:textId="7E1D5251" w:rsidR="00C0560F" w:rsidRPr="002302E4" w:rsidRDefault="00C0560F" w:rsidP="008F5F61">
            <w:pPr>
              <w:spacing w:line="240" w:lineRule="auto"/>
              <w:jc w:val="right"/>
              <w:rPr>
                <w:b/>
                <w:bCs/>
                <w:sz w:val="20"/>
                <w:szCs w:val="20"/>
              </w:rPr>
            </w:pPr>
          </w:p>
        </w:tc>
      </w:tr>
    </w:tbl>
    <w:p w14:paraId="6601F7DA" w14:textId="77777777" w:rsidR="008F5F61" w:rsidRPr="002B5A04" w:rsidRDefault="008F5F61" w:rsidP="008F5F61">
      <w:pPr>
        <w:pStyle w:val="Default"/>
        <w:jc w:val="center"/>
        <w:rPr>
          <w:rFonts w:ascii="Calibri" w:hAnsi="Calibri" w:cs="Calibri"/>
          <w:b/>
          <w:color w:val="auto"/>
          <w:sz w:val="20"/>
          <w:szCs w:val="20"/>
          <w:highlight w:val="yellow"/>
        </w:rPr>
      </w:pPr>
    </w:p>
    <w:p w14:paraId="2BC8C5DC" w14:textId="17A78D43" w:rsidR="00270842" w:rsidRDefault="004E7763" w:rsidP="001D0A35">
      <w:pPr>
        <w:jc w:val="center"/>
        <w:rPr>
          <w:b/>
          <w:sz w:val="48"/>
          <w:szCs w:val="48"/>
          <w:lang w:val="fr-FR"/>
        </w:rPr>
      </w:pPr>
      <w:proofErr w:type="spellStart"/>
      <w:r w:rsidRPr="004E7763">
        <w:rPr>
          <w:b/>
          <w:sz w:val="48"/>
          <w:szCs w:val="48"/>
          <w:lang w:val="fr-FR"/>
        </w:rPr>
        <w:t>Géoméga</w:t>
      </w:r>
      <w:proofErr w:type="spellEnd"/>
      <w:r w:rsidRPr="004E7763">
        <w:rPr>
          <w:b/>
          <w:sz w:val="48"/>
          <w:szCs w:val="48"/>
          <w:lang w:val="fr-FR"/>
        </w:rPr>
        <w:t xml:space="preserve"> obtient un financement de 2,04 M$ de NGen pour </w:t>
      </w:r>
      <w:r>
        <w:rPr>
          <w:b/>
          <w:sz w:val="48"/>
          <w:szCs w:val="48"/>
          <w:lang w:val="fr-FR"/>
        </w:rPr>
        <w:t>son</w:t>
      </w:r>
      <w:r w:rsidRPr="004E7763">
        <w:rPr>
          <w:b/>
          <w:sz w:val="48"/>
          <w:szCs w:val="48"/>
          <w:lang w:val="fr-FR"/>
        </w:rPr>
        <w:t xml:space="preserve"> usine de démonstration de recyclage de terres rares</w:t>
      </w:r>
    </w:p>
    <w:p w14:paraId="28100BC4" w14:textId="77777777" w:rsidR="00BC7BAB" w:rsidRPr="00B5596B" w:rsidRDefault="00BC7BAB" w:rsidP="001D0A35">
      <w:pPr>
        <w:jc w:val="center"/>
        <w:rPr>
          <w:rFonts w:asciiTheme="minorHAnsi" w:hAnsiTheme="minorHAnsi" w:cstheme="minorHAnsi"/>
          <w:bCs/>
        </w:rPr>
      </w:pPr>
    </w:p>
    <w:p w14:paraId="7640AA08" w14:textId="5C56F769" w:rsidR="00EF0DE2" w:rsidRDefault="00E127D1" w:rsidP="004E7763">
      <w:pPr>
        <w:rPr>
          <w:rStyle w:val="Strong"/>
          <w:rFonts w:asciiTheme="minorHAnsi" w:hAnsiTheme="minorHAnsi" w:cstheme="minorHAnsi"/>
        </w:rPr>
      </w:pPr>
      <w:r>
        <w:rPr>
          <w:b/>
          <w:bCs/>
          <w:color w:val="000000"/>
        </w:rPr>
        <w:t xml:space="preserve">Montréal, </w:t>
      </w:r>
      <w:r w:rsidR="00A616C6">
        <w:rPr>
          <w:b/>
          <w:bCs/>
          <w:color w:val="000000"/>
        </w:rPr>
        <w:t>27</w:t>
      </w:r>
      <w:r w:rsidR="00270842">
        <w:rPr>
          <w:b/>
          <w:bCs/>
          <w:color w:val="000000"/>
        </w:rPr>
        <w:t xml:space="preserve"> novembre</w:t>
      </w:r>
      <w:r>
        <w:rPr>
          <w:b/>
          <w:bCs/>
          <w:color w:val="000000"/>
        </w:rPr>
        <w:t xml:space="preserve"> 202</w:t>
      </w:r>
      <w:r w:rsidR="00C32BD6">
        <w:rPr>
          <w:b/>
          <w:bCs/>
          <w:color w:val="000000"/>
        </w:rPr>
        <w:t>3</w:t>
      </w:r>
      <w:r w:rsidRPr="00FE049F">
        <w:rPr>
          <w:b/>
          <w:bCs/>
          <w:color w:val="000000"/>
        </w:rPr>
        <w:t xml:space="preserve"> </w:t>
      </w:r>
      <w:r w:rsidRPr="00FE049F">
        <w:rPr>
          <w:color w:val="000000"/>
        </w:rPr>
        <w:t xml:space="preserve">– </w:t>
      </w:r>
      <w:r w:rsidRPr="00A367AB">
        <w:rPr>
          <w:rFonts w:eastAsiaTheme="minorHAnsi"/>
        </w:rPr>
        <w:t xml:space="preserve">Ressources </w:t>
      </w:r>
      <w:proofErr w:type="spellStart"/>
      <w:r>
        <w:rPr>
          <w:rFonts w:eastAsiaTheme="minorHAnsi"/>
        </w:rPr>
        <w:t>Géoméga</w:t>
      </w:r>
      <w:proofErr w:type="spellEnd"/>
      <w:r w:rsidRPr="00A367AB">
        <w:rPr>
          <w:rFonts w:eastAsiaTheme="minorHAnsi"/>
        </w:rPr>
        <w:t xml:space="preserve"> </w:t>
      </w:r>
      <w:proofErr w:type="spellStart"/>
      <w:r>
        <w:rPr>
          <w:rFonts w:eastAsiaTheme="minorHAnsi"/>
        </w:rPr>
        <w:t>i</w:t>
      </w:r>
      <w:r w:rsidRPr="00A367AB">
        <w:rPr>
          <w:rFonts w:eastAsiaTheme="minorHAnsi"/>
        </w:rPr>
        <w:t>nc.</w:t>
      </w:r>
      <w:proofErr w:type="spellEnd"/>
      <w:r w:rsidRPr="00A367AB">
        <w:rPr>
          <w:rFonts w:eastAsiaTheme="minorHAnsi"/>
        </w:rPr>
        <w:t xml:space="preserve"> (« </w:t>
      </w:r>
      <w:proofErr w:type="spellStart"/>
      <w:r>
        <w:rPr>
          <w:rFonts w:eastAsiaTheme="minorHAnsi"/>
          <w:b/>
          <w:bCs/>
        </w:rPr>
        <w:t>Géoméga</w:t>
      </w:r>
      <w:proofErr w:type="spellEnd"/>
      <w:r w:rsidRPr="00A367AB">
        <w:rPr>
          <w:rFonts w:eastAsiaTheme="minorHAnsi"/>
        </w:rPr>
        <w:t> » ou la « </w:t>
      </w:r>
      <w:r w:rsidRPr="00A367AB">
        <w:rPr>
          <w:rFonts w:eastAsiaTheme="minorHAnsi"/>
          <w:b/>
          <w:bCs/>
        </w:rPr>
        <w:t>Société</w:t>
      </w:r>
      <w:r w:rsidRPr="00A367AB">
        <w:rPr>
          <w:rFonts w:eastAsiaTheme="minorHAnsi"/>
        </w:rPr>
        <w:t> ») (TSX</w:t>
      </w:r>
      <w:r w:rsidRPr="00A367AB">
        <w:rPr>
          <w:rFonts w:eastAsiaTheme="minorHAnsi"/>
        </w:rPr>
        <w:noBreakHyphen/>
        <w:t xml:space="preserve">V : GMA) </w:t>
      </w:r>
      <w:r w:rsidR="004E7763" w:rsidRPr="004E7763">
        <w:rPr>
          <w:rStyle w:val="Strong"/>
          <w:rFonts w:asciiTheme="minorHAnsi" w:hAnsiTheme="minorHAnsi" w:cstheme="minorHAnsi"/>
          <w:b w:val="0"/>
          <w:bCs w:val="0"/>
        </w:rPr>
        <w:t>développeur de technologies propres et alternatives pour l'extraction, le raffinage et le recyclage des terres rares et autres matériaux critiques, est heureuse d'annoncer</w:t>
      </w:r>
      <w:r w:rsidR="00BC7BAB">
        <w:rPr>
          <w:rStyle w:val="Strong"/>
          <w:rFonts w:asciiTheme="minorHAnsi" w:hAnsiTheme="minorHAnsi" w:cstheme="minorHAnsi"/>
          <w:b w:val="0"/>
          <w:bCs w:val="0"/>
        </w:rPr>
        <w:t xml:space="preserve"> </w:t>
      </w:r>
      <w:r w:rsidR="001673BD">
        <w:rPr>
          <w:rStyle w:val="Strong"/>
          <w:rFonts w:asciiTheme="minorHAnsi" w:hAnsiTheme="minorHAnsi" w:cstheme="minorHAnsi"/>
          <w:b w:val="0"/>
          <w:bCs w:val="0"/>
        </w:rPr>
        <w:t>l’obtention</w:t>
      </w:r>
      <w:r w:rsidR="00BC7BAB" w:rsidRPr="00BC7BAB">
        <w:rPr>
          <w:rStyle w:val="Strong"/>
          <w:rFonts w:asciiTheme="minorHAnsi" w:hAnsiTheme="minorHAnsi" w:cstheme="minorHAnsi"/>
          <w:b w:val="0"/>
          <w:bCs w:val="0"/>
        </w:rPr>
        <w:t xml:space="preserve"> </w:t>
      </w:r>
      <w:r w:rsidR="001673BD">
        <w:rPr>
          <w:rStyle w:val="Strong"/>
          <w:rFonts w:asciiTheme="minorHAnsi" w:hAnsiTheme="minorHAnsi" w:cstheme="minorHAnsi"/>
          <w:b w:val="0"/>
          <w:bCs w:val="0"/>
        </w:rPr>
        <w:t>d’</w:t>
      </w:r>
      <w:r w:rsidR="00BC7BAB" w:rsidRPr="00BC7BAB">
        <w:rPr>
          <w:rStyle w:val="Strong"/>
          <w:rFonts w:asciiTheme="minorHAnsi" w:hAnsiTheme="minorHAnsi" w:cstheme="minorHAnsi"/>
          <w:b w:val="0"/>
          <w:bCs w:val="0"/>
        </w:rPr>
        <w:t xml:space="preserve">un financement de 2,04 millions de dollars de Next </w:t>
      </w:r>
      <w:proofErr w:type="spellStart"/>
      <w:r w:rsidR="00BC7BAB" w:rsidRPr="00BC7BAB">
        <w:rPr>
          <w:rStyle w:val="Strong"/>
          <w:rFonts w:asciiTheme="minorHAnsi" w:hAnsiTheme="minorHAnsi" w:cstheme="minorHAnsi"/>
          <w:b w:val="0"/>
          <w:bCs w:val="0"/>
        </w:rPr>
        <w:t>Generation</w:t>
      </w:r>
      <w:proofErr w:type="spellEnd"/>
      <w:r w:rsidR="00BC7BAB" w:rsidRPr="00BC7BAB">
        <w:rPr>
          <w:rStyle w:val="Strong"/>
          <w:rFonts w:asciiTheme="minorHAnsi" w:hAnsiTheme="minorHAnsi" w:cstheme="minorHAnsi"/>
          <w:b w:val="0"/>
          <w:bCs w:val="0"/>
        </w:rPr>
        <w:t xml:space="preserve"> </w:t>
      </w:r>
      <w:proofErr w:type="spellStart"/>
      <w:r w:rsidR="00BC7BAB" w:rsidRPr="00BC7BAB">
        <w:rPr>
          <w:rStyle w:val="Strong"/>
          <w:rFonts w:asciiTheme="minorHAnsi" w:hAnsiTheme="minorHAnsi" w:cstheme="minorHAnsi"/>
          <w:b w:val="0"/>
          <w:bCs w:val="0"/>
        </w:rPr>
        <w:t>Manufacturing</w:t>
      </w:r>
      <w:proofErr w:type="spellEnd"/>
      <w:r w:rsidR="00BC7BAB" w:rsidRPr="00BC7BAB">
        <w:rPr>
          <w:rStyle w:val="Strong"/>
          <w:rFonts w:asciiTheme="minorHAnsi" w:hAnsiTheme="minorHAnsi" w:cstheme="minorHAnsi"/>
          <w:b w:val="0"/>
          <w:bCs w:val="0"/>
        </w:rPr>
        <w:t xml:space="preserve"> Canada (NGen) pour la construction de </w:t>
      </w:r>
      <w:r w:rsidR="001673BD">
        <w:rPr>
          <w:rStyle w:val="Strong"/>
          <w:rFonts w:asciiTheme="minorHAnsi" w:hAnsiTheme="minorHAnsi" w:cstheme="minorHAnsi"/>
          <w:b w:val="0"/>
          <w:bCs w:val="0"/>
        </w:rPr>
        <w:t xml:space="preserve">son </w:t>
      </w:r>
      <w:r w:rsidR="00BC7BAB" w:rsidRPr="00BC7BAB">
        <w:rPr>
          <w:rStyle w:val="Strong"/>
          <w:rFonts w:asciiTheme="minorHAnsi" w:hAnsiTheme="minorHAnsi" w:cstheme="minorHAnsi"/>
          <w:b w:val="0"/>
          <w:bCs w:val="0"/>
        </w:rPr>
        <w:t xml:space="preserve">usine de démonstration de recyclage de terres rares à St-Hubert, au Québec. Le financement fait partie d'une enveloppe totale de 2,96 millions de dollars accordée à </w:t>
      </w:r>
      <w:proofErr w:type="spellStart"/>
      <w:r w:rsidR="00BC7BAB" w:rsidRPr="00BC7BAB">
        <w:rPr>
          <w:rStyle w:val="Strong"/>
          <w:rFonts w:asciiTheme="minorHAnsi" w:hAnsiTheme="minorHAnsi" w:cstheme="minorHAnsi"/>
          <w:b w:val="0"/>
          <w:bCs w:val="0"/>
        </w:rPr>
        <w:t>Géoméga</w:t>
      </w:r>
      <w:proofErr w:type="spellEnd"/>
      <w:r w:rsidR="00BC7BAB" w:rsidRPr="00BC7BAB">
        <w:rPr>
          <w:rStyle w:val="Strong"/>
          <w:rFonts w:asciiTheme="minorHAnsi" w:hAnsiTheme="minorHAnsi" w:cstheme="minorHAnsi"/>
          <w:b w:val="0"/>
          <w:bCs w:val="0"/>
        </w:rPr>
        <w:t xml:space="preserve"> et à une entreprise privée de R&amp;D basée au Québec pour réaliser le projet intitulé « Recyclage et production d'oxydes de terres rares à partir de </w:t>
      </w:r>
      <w:r w:rsidR="001673BD">
        <w:rPr>
          <w:rStyle w:val="Strong"/>
          <w:rFonts w:asciiTheme="minorHAnsi" w:hAnsiTheme="minorHAnsi" w:cstheme="minorHAnsi"/>
          <w:b w:val="0"/>
          <w:bCs w:val="0"/>
        </w:rPr>
        <w:t>rebuts</w:t>
      </w:r>
      <w:r w:rsidR="00BC7BAB" w:rsidRPr="00BC7BAB">
        <w:rPr>
          <w:rStyle w:val="Strong"/>
          <w:rFonts w:asciiTheme="minorHAnsi" w:hAnsiTheme="minorHAnsi" w:cstheme="minorHAnsi"/>
          <w:b w:val="0"/>
          <w:bCs w:val="0"/>
        </w:rPr>
        <w:t xml:space="preserve"> d'aimants permanents ».</w:t>
      </w:r>
    </w:p>
    <w:p w14:paraId="51978ECF" w14:textId="77777777" w:rsidR="004E7763" w:rsidRDefault="004E7763" w:rsidP="004E7763">
      <w:pPr>
        <w:rPr>
          <w:rStyle w:val="Strong"/>
          <w:rFonts w:asciiTheme="minorHAnsi" w:hAnsiTheme="minorHAnsi" w:cstheme="minorHAnsi"/>
        </w:rPr>
      </w:pPr>
    </w:p>
    <w:p w14:paraId="15F36A52" w14:textId="72845D92" w:rsidR="00BC7BAB" w:rsidRPr="00BC7BAB" w:rsidRDefault="00BC7BAB" w:rsidP="00BC7BAB">
      <w:pPr>
        <w:rPr>
          <w:rStyle w:val="Strong"/>
          <w:rFonts w:asciiTheme="minorHAnsi" w:hAnsiTheme="minorHAnsi" w:cstheme="minorHAnsi"/>
          <w:b w:val="0"/>
          <w:bCs w:val="0"/>
        </w:rPr>
      </w:pPr>
      <w:r w:rsidRPr="00BC7BAB">
        <w:rPr>
          <w:rStyle w:val="Strong"/>
          <w:rFonts w:asciiTheme="minorHAnsi" w:hAnsiTheme="minorHAnsi" w:cstheme="minorHAnsi"/>
          <w:b w:val="0"/>
          <w:bCs w:val="0"/>
        </w:rPr>
        <w:t xml:space="preserve">Dans le cadre du projet collaboratif, </w:t>
      </w:r>
      <w:r w:rsidR="001673BD">
        <w:rPr>
          <w:rStyle w:val="Strong"/>
          <w:rFonts w:asciiTheme="minorHAnsi" w:hAnsiTheme="minorHAnsi" w:cstheme="minorHAnsi"/>
          <w:b w:val="0"/>
          <w:bCs w:val="0"/>
        </w:rPr>
        <w:t>d</w:t>
      </w:r>
      <w:r w:rsidRPr="00BC7BAB">
        <w:rPr>
          <w:rStyle w:val="Strong"/>
          <w:rFonts w:asciiTheme="minorHAnsi" w:hAnsiTheme="minorHAnsi" w:cstheme="minorHAnsi"/>
          <w:b w:val="0"/>
          <w:bCs w:val="0"/>
        </w:rPr>
        <w:t xml:space="preserve">es </w:t>
      </w:r>
      <w:r w:rsidR="001673BD">
        <w:rPr>
          <w:rStyle w:val="Strong"/>
          <w:rFonts w:asciiTheme="minorHAnsi" w:hAnsiTheme="minorHAnsi" w:cstheme="minorHAnsi"/>
          <w:b w:val="0"/>
          <w:bCs w:val="0"/>
        </w:rPr>
        <w:t>rebuts</w:t>
      </w:r>
      <w:r w:rsidRPr="00BC7BAB">
        <w:rPr>
          <w:rStyle w:val="Strong"/>
          <w:rFonts w:asciiTheme="minorHAnsi" w:hAnsiTheme="minorHAnsi" w:cstheme="minorHAnsi"/>
          <w:b w:val="0"/>
          <w:bCs w:val="0"/>
        </w:rPr>
        <w:t xml:space="preserve"> d'aimants seront fournis à </w:t>
      </w:r>
      <w:proofErr w:type="spellStart"/>
      <w:r w:rsidRPr="00BC7BAB">
        <w:rPr>
          <w:rStyle w:val="Strong"/>
          <w:rFonts w:asciiTheme="minorHAnsi" w:hAnsiTheme="minorHAnsi" w:cstheme="minorHAnsi"/>
          <w:b w:val="0"/>
          <w:bCs w:val="0"/>
        </w:rPr>
        <w:t>G</w:t>
      </w:r>
      <w:r w:rsidR="001673BD">
        <w:rPr>
          <w:rStyle w:val="Strong"/>
          <w:rFonts w:asciiTheme="minorHAnsi" w:hAnsiTheme="minorHAnsi" w:cstheme="minorHAnsi"/>
          <w:b w:val="0"/>
          <w:bCs w:val="0"/>
        </w:rPr>
        <w:t>é</w:t>
      </w:r>
      <w:r w:rsidRPr="00BC7BAB">
        <w:rPr>
          <w:rStyle w:val="Strong"/>
          <w:rFonts w:asciiTheme="minorHAnsi" w:hAnsiTheme="minorHAnsi" w:cstheme="minorHAnsi"/>
          <w:b w:val="0"/>
          <w:bCs w:val="0"/>
        </w:rPr>
        <w:t>om</w:t>
      </w:r>
      <w:r w:rsidR="001673BD">
        <w:rPr>
          <w:rStyle w:val="Strong"/>
          <w:rFonts w:asciiTheme="minorHAnsi" w:hAnsiTheme="minorHAnsi" w:cstheme="minorHAnsi"/>
          <w:b w:val="0"/>
          <w:bCs w:val="0"/>
        </w:rPr>
        <w:t>é</w:t>
      </w:r>
      <w:r w:rsidRPr="00BC7BAB">
        <w:rPr>
          <w:rStyle w:val="Strong"/>
          <w:rFonts w:asciiTheme="minorHAnsi" w:hAnsiTheme="minorHAnsi" w:cstheme="minorHAnsi"/>
          <w:b w:val="0"/>
          <w:bCs w:val="0"/>
        </w:rPr>
        <w:t>ga</w:t>
      </w:r>
      <w:proofErr w:type="spellEnd"/>
      <w:r w:rsidRPr="00BC7BAB">
        <w:rPr>
          <w:rStyle w:val="Strong"/>
          <w:rFonts w:asciiTheme="minorHAnsi" w:hAnsiTheme="minorHAnsi" w:cstheme="minorHAnsi"/>
          <w:b w:val="0"/>
          <w:bCs w:val="0"/>
        </w:rPr>
        <w:t xml:space="preserve"> pour être recyclés à l'aide de sa technologie dans </w:t>
      </w:r>
      <w:r w:rsidR="001673BD">
        <w:rPr>
          <w:rStyle w:val="Strong"/>
          <w:rFonts w:asciiTheme="minorHAnsi" w:hAnsiTheme="minorHAnsi" w:cstheme="minorHAnsi"/>
          <w:b w:val="0"/>
          <w:bCs w:val="0"/>
        </w:rPr>
        <w:t>l’</w:t>
      </w:r>
      <w:r w:rsidRPr="00BC7BAB">
        <w:rPr>
          <w:rStyle w:val="Strong"/>
          <w:rFonts w:asciiTheme="minorHAnsi" w:hAnsiTheme="minorHAnsi" w:cstheme="minorHAnsi"/>
          <w:b w:val="0"/>
          <w:bCs w:val="0"/>
        </w:rPr>
        <w:t xml:space="preserve">usine de démonstration. Les </w:t>
      </w:r>
      <w:r w:rsidR="001673BD">
        <w:rPr>
          <w:rStyle w:val="Strong"/>
          <w:rFonts w:asciiTheme="minorHAnsi" w:hAnsiTheme="minorHAnsi" w:cstheme="minorHAnsi"/>
          <w:b w:val="0"/>
          <w:bCs w:val="0"/>
        </w:rPr>
        <w:t>extrants sous forme d’</w:t>
      </w:r>
      <w:r w:rsidRPr="00BC7BAB">
        <w:rPr>
          <w:rStyle w:val="Strong"/>
          <w:rFonts w:asciiTheme="minorHAnsi" w:hAnsiTheme="minorHAnsi" w:cstheme="minorHAnsi"/>
          <w:b w:val="0"/>
          <w:bCs w:val="0"/>
        </w:rPr>
        <w:t>oxydes de terres rares seront ensuite utilisés</w:t>
      </w:r>
      <w:r w:rsidR="00383FFE">
        <w:rPr>
          <w:rStyle w:val="Strong"/>
          <w:rFonts w:asciiTheme="minorHAnsi" w:hAnsiTheme="minorHAnsi" w:cstheme="minorHAnsi"/>
          <w:b w:val="0"/>
          <w:bCs w:val="0"/>
        </w:rPr>
        <w:t xml:space="preserve"> par le partenaire de projet </w:t>
      </w:r>
      <w:r w:rsidRPr="00BC7BAB">
        <w:rPr>
          <w:rStyle w:val="Strong"/>
          <w:rFonts w:asciiTheme="minorHAnsi" w:hAnsiTheme="minorHAnsi" w:cstheme="minorHAnsi"/>
          <w:b w:val="0"/>
          <w:bCs w:val="0"/>
        </w:rPr>
        <w:t xml:space="preserve">pour produire des métaux de terres rares. Le projet est financé par NGen dans le cadre de son programme </w:t>
      </w:r>
      <w:r w:rsidRPr="001673BD">
        <w:rPr>
          <w:rStyle w:val="Strong"/>
          <w:rFonts w:asciiTheme="minorHAnsi" w:hAnsiTheme="minorHAnsi" w:cstheme="minorHAnsi"/>
          <w:b w:val="0"/>
          <w:bCs w:val="0"/>
          <w:i/>
          <w:iCs/>
        </w:rPr>
        <w:t xml:space="preserve">Advanced </w:t>
      </w:r>
      <w:proofErr w:type="spellStart"/>
      <w:r w:rsidRPr="001673BD">
        <w:rPr>
          <w:rStyle w:val="Strong"/>
          <w:rFonts w:asciiTheme="minorHAnsi" w:hAnsiTheme="minorHAnsi" w:cstheme="minorHAnsi"/>
          <w:b w:val="0"/>
          <w:bCs w:val="0"/>
          <w:i/>
          <w:iCs/>
        </w:rPr>
        <w:t>Manufacturing</w:t>
      </w:r>
      <w:proofErr w:type="spellEnd"/>
      <w:r w:rsidRPr="001673BD">
        <w:rPr>
          <w:rStyle w:val="Strong"/>
          <w:rFonts w:asciiTheme="minorHAnsi" w:hAnsiTheme="minorHAnsi" w:cstheme="minorHAnsi"/>
          <w:b w:val="0"/>
          <w:bCs w:val="0"/>
          <w:i/>
          <w:iCs/>
        </w:rPr>
        <w:t xml:space="preserve"> </w:t>
      </w:r>
      <w:proofErr w:type="spellStart"/>
      <w:r w:rsidRPr="001673BD">
        <w:rPr>
          <w:rStyle w:val="Strong"/>
          <w:rFonts w:asciiTheme="minorHAnsi" w:hAnsiTheme="minorHAnsi" w:cstheme="minorHAnsi"/>
          <w:b w:val="0"/>
          <w:bCs w:val="0"/>
          <w:i/>
          <w:iCs/>
        </w:rPr>
        <w:t>Projects</w:t>
      </w:r>
      <w:proofErr w:type="spellEnd"/>
      <w:r w:rsidRPr="00BC7BAB">
        <w:rPr>
          <w:rStyle w:val="Strong"/>
          <w:rFonts w:asciiTheme="minorHAnsi" w:hAnsiTheme="minorHAnsi" w:cstheme="minorHAnsi"/>
          <w:b w:val="0"/>
          <w:bCs w:val="0"/>
        </w:rPr>
        <w:t xml:space="preserve"> qui vise à réduire les risques, à commercialiser et à développer </w:t>
      </w:r>
      <w:r w:rsidR="001673BD">
        <w:rPr>
          <w:rStyle w:val="Strong"/>
          <w:rFonts w:asciiTheme="minorHAnsi" w:hAnsiTheme="minorHAnsi" w:cstheme="minorHAnsi"/>
          <w:b w:val="0"/>
          <w:bCs w:val="0"/>
        </w:rPr>
        <w:t>d</w:t>
      </w:r>
      <w:r w:rsidRPr="00BC7BAB">
        <w:rPr>
          <w:rStyle w:val="Strong"/>
          <w:rFonts w:asciiTheme="minorHAnsi" w:hAnsiTheme="minorHAnsi" w:cstheme="minorHAnsi"/>
          <w:b w:val="0"/>
          <w:bCs w:val="0"/>
        </w:rPr>
        <w:t>es capacités de fabrication innovantes au Canada. Un projet réussi renforcera la compétitivité du secteur manufacturier canadien, stimulera davantage d'innovation</w:t>
      </w:r>
      <w:r w:rsidR="001673BD">
        <w:rPr>
          <w:rStyle w:val="Strong"/>
          <w:rFonts w:asciiTheme="minorHAnsi" w:hAnsiTheme="minorHAnsi" w:cstheme="minorHAnsi"/>
          <w:b w:val="0"/>
          <w:bCs w:val="0"/>
        </w:rPr>
        <w:t>s</w:t>
      </w:r>
      <w:r w:rsidRPr="00BC7BAB">
        <w:rPr>
          <w:rStyle w:val="Strong"/>
          <w:rFonts w:asciiTheme="minorHAnsi" w:hAnsiTheme="minorHAnsi" w:cstheme="minorHAnsi"/>
          <w:b w:val="0"/>
          <w:bCs w:val="0"/>
        </w:rPr>
        <w:t xml:space="preserve"> et d'investissement</w:t>
      </w:r>
      <w:r w:rsidR="001673BD">
        <w:rPr>
          <w:rStyle w:val="Strong"/>
          <w:rFonts w:asciiTheme="minorHAnsi" w:hAnsiTheme="minorHAnsi" w:cstheme="minorHAnsi"/>
          <w:b w:val="0"/>
          <w:bCs w:val="0"/>
        </w:rPr>
        <w:t>s</w:t>
      </w:r>
      <w:r w:rsidRPr="00BC7BAB">
        <w:rPr>
          <w:rStyle w:val="Strong"/>
          <w:rFonts w:asciiTheme="minorHAnsi" w:hAnsiTheme="minorHAnsi" w:cstheme="minorHAnsi"/>
          <w:b w:val="0"/>
          <w:bCs w:val="0"/>
        </w:rPr>
        <w:t xml:space="preserve"> dans les technologies de fabrication avancées au Canada, générera de nouvelles opportunités commerciales pour les entreprises canadiennes sur les marchés mondiaux, fera croître les entreprises canadiennes de calibre mondial et développera une main-d'œuvre moderne et inclusive avec les compétences nécessaires pour exceller dans la fabrication de pointe.</w:t>
      </w:r>
    </w:p>
    <w:p w14:paraId="36427AC5" w14:textId="77777777" w:rsidR="00BC7BAB" w:rsidRPr="00BC7BAB" w:rsidRDefault="00BC7BAB" w:rsidP="00BC7BAB">
      <w:pPr>
        <w:rPr>
          <w:rStyle w:val="Strong"/>
          <w:rFonts w:asciiTheme="minorHAnsi" w:hAnsiTheme="minorHAnsi" w:cstheme="minorHAnsi"/>
          <w:b w:val="0"/>
          <w:bCs w:val="0"/>
        </w:rPr>
      </w:pPr>
    </w:p>
    <w:p w14:paraId="4A40FF79" w14:textId="267206F9" w:rsidR="00BC7BAB" w:rsidRPr="00BC7BAB" w:rsidRDefault="00BC7BAB" w:rsidP="00BC7BAB">
      <w:pPr>
        <w:rPr>
          <w:rStyle w:val="Strong"/>
          <w:rFonts w:asciiTheme="minorHAnsi" w:hAnsiTheme="minorHAnsi" w:cstheme="minorHAnsi"/>
          <w:b w:val="0"/>
          <w:bCs w:val="0"/>
        </w:rPr>
      </w:pPr>
      <w:r w:rsidRPr="00BC7BAB">
        <w:rPr>
          <w:rStyle w:val="Strong"/>
          <w:rFonts w:asciiTheme="minorHAnsi" w:hAnsiTheme="minorHAnsi" w:cstheme="minorHAnsi"/>
          <w:b w:val="0"/>
          <w:bCs w:val="0"/>
        </w:rPr>
        <w:t xml:space="preserve">« Nous sommes ravis de travailler avec NGen sur notre usine de démonstration de recyclage de terres rares. Nous pensons que le recyclage jouera un rôle important pour boucler la boucle au sein de la chaîne d'approvisionnement des terres rares et des aimants </w:t>
      </w:r>
      <w:r w:rsidR="001673BD">
        <w:rPr>
          <w:rStyle w:val="Strong"/>
          <w:rFonts w:asciiTheme="minorHAnsi" w:hAnsiTheme="minorHAnsi" w:cstheme="minorHAnsi"/>
          <w:b w:val="0"/>
          <w:bCs w:val="0"/>
        </w:rPr>
        <w:t>en fournissant</w:t>
      </w:r>
      <w:r w:rsidRPr="00BC7BAB">
        <w:rPr>
          <w:rStyle w:val="Strong"/>
          <w:rFonts w:asciiTheme="minorHAnsi" w:hAnsiTheme="minorHAnsi" w:cstheme="minorHAnsi"/>
          <w:b w:val="0"/>
          <w:bCs w:val="0"/>
        </w:rPr>
        <w:t xml:space="preserve"> une solution de recyclage locale pour les aimants en fin de vie </w:t>
      </w:r>
      <w:r w:rsidR="001673BD">
        <w:rPr>
          <w:rStyle w:val="Strong"/>
          <w:rFonts w:asciiTheme="minorHAnsi" w:hAnsiTheme="minorHAnsi" w:cstheme="minorHAnsi"/>
          <w:b w:val="0"/>
          <w:bCs w:val="0"/>
        </w:rPr>
        <w:t>ainsi qu’</w:t>
      </w:r>
      <w:r w:rsidRPr="00BC7BAB">
        <w:rPr>
          <w:rStyle w:val="Strong"/>
          <w:rFonts w:asciiTheme="minorHAnsi" w:hAnsiTheme="minorHAnsi" w:cstheme="minorHAnsi"/>
          <w:b w:val="0"/>
          <w:bCs w:val="0"/>
        </w:rPr>
        <w:t xml:space="preserve">un approvisionnement durable en terres rares pour les industries en développement des métaux et des aimants. La construction de l'usine de démonstration en 2024 constituera une étape majeure du développement de </w:t>
      </w:r>
      <w:proofErr w:type="spellStart"/>
      <w:r w:rsidRPr="00BC7BAB">
        <w:rPr>
          <w:rStyle w:val="Strong"/>
          <w:rFonts w:asciiTheme="minorHAnsi" w:hAnsiTheme="minorHAnsi" w:cstheme="minorHAnsi"/>
          <w:b w:val="0"/>
          <w:bCs w:val="0"/>
        </w:rPr>
        <w:t>Géoméga</w:t>
      </w:r>
      <w:proofErr w:type="spellEnd"/>
      <w:r w:rsidRPr="00BC7BAB">
        <w:rPr>
          <w:rStyle w:val="Strong"/>
          <w:rFonts w:asciiTheme="minorHAnsi" w:hAnsiTheme="minorHAnsi" w:cstheme="minorHAnsi"/>
          <w:b w:val="0"/>
          <w:bCs w:val="0"/>
        </w:rPr>
        <w:t xml:space="preserve"> et de notre technologie innovante et nous sommes impatients de </w:t>
      </w:r>
      <w:r w:rsidR="00383FFE">
        <w:rPr>
          <w:rStyle w:val="Strong"/>
          <w:rFonts w:asciiTheme="minorHAnsi" w:hAnsiTheme="minorHAnsi" w:cstheme="minorHAnsi"/>
          <w:b w:val="0"/>
          <w:bCs w:val="0"/>
        </w:rPr>
        <w:t xml:space="preserve">continuer à </w:t>
      </w:r>
      <w:r w:rsidRPr="00BC7BAB">
        <w:rPr>
          <w:rStyle w:val="Strong"/>
          <w:rFonts w:asciiTheme="minorHAnsi" w:hAnsiTheme="minorHAnsi" w:cstheme="minorHAnsi"/>
          <w:b w:val="0"/>
          <w:bCs w:val="0"/>
        </w:rPr>
        <w:t>travailler avec toutes nos parties prenantes pour en faire une réalité.</w:t>
      </w:r>
      <w:r w:rsidR="001673BD">
        <w:rPr>
          <w:rStyle w:val="Strong"/>
          <w:rFonts w:asciiTheme="minorHAnsi" w:hAnsiTheme="minorHAnsi" w:cstheme="minorHAnsi"/>
          <w:b w:val="0"/>
          <w:bCs w:val="0"/>
        </w:rPr>
        <w:t> »</w:t>
      </w:r>
      <w:r w:rsidRPr="00BC7BAB">
        <w:rPr>
          <w:rStyle w:val="Strong"/>
          <w:rFonts w:asciiTheme="minorHAnsi" w:hAnsiTheme="minorHAnsi" w:cstheme="minorHAnsi"/>
          <w:b w:val="0"/>
          <w:bCs w:val="0"/>
        </w:rPr>
        <w:t xml:space="preserve"> a commenté Kiril Mugerman, président et chef de la direction de </w:t>
      </w:r>
      <w:proofErr w:type="spellStart"/>
      <w:r w:rsidRPr="00BC7BAB">
        <w:rPr>
          <w:rStyle w:val="Strong"/>
          <w:rFonts w:asciiTheme="minorHAnsi" w:hAnsiTheme="minorHAnsi" w:cstheme="minorHAnsi"/>
          <w:b w:val="0"/>
          <w:bCs w:val="0"/>
        </w:rPr>
        <w:t>G</w:t>
      </w:r>
      <w:r w:rsidR="001673BD">
        <w:rPr>
          <w:rStyle w:val="Strong"/>
          <w:rFonts w:asciiTheme="minorHAnsi" w:hAnsiTheme="minorHAnsi" w:cstheme="minorHAnsi"/>
          <w:b w:val="0"/>
          <w:bCs w:val="0"/>
        </w:rPr>
        <w:t>é</w:t>
      </w:r>
      <w:r w:rsidRPr="00BC7BAB">
        <w:rPr>
          <w:rStyle w:val="Strong"/>
          <w:rFonts w:asciiTheme="minorHAnsi" w:hAnsiTheme="minorHAnsi" w:cstheme="minorHAnsi"/>
          <w:b w:val="0"/>
          <w:bCs w:val="0"/>
        </w:rPr>
        <w:t>om</w:t>
      </w:r>
      <w:r w:rsidR="001673BD">
        <w:rPr>
          <w:rStyle w:val="Strong"/>
          <w:rFonts w:asciiTheme="minorHAnsi" w:hAnsiTheme="minorHAnsi" w:cstheme="minorHAnsi"/>
          <w:b w:val="0"/>
          <w:bCs w:val="0"/>
        </w:rPr>
        <w:t>é</w:t>
      </w:r>
      <w:r w:rsidRPr="00BC7BAB">
        <w:rPr>
          <w:rStyle w:val="Strong"/>
          <w:rFonts w:asciiTheme="minorHAnsi" w:hAnsiTheme="minorHAnsi" w:cstheme="minorHAnsi"/>
          <w:b w:val="0"/>
          <w:bCs w:val="0"/>
        </w:rPr>
        <w:t>ga</w:t>
      </w:r>
      <w:proofErr w:type="spellEnd"/>
      <w:r w:rsidRPr="00BC7BAB">
        <w:rPr>
          <w:rStyle w:val="Strong"/>
          <w:rFonts w:asciiTheme="minorHAnsi" w:hAnsiTheme="minorHAnsi" w:cstheme="minorHAnsi"/>
          <w:b w:val="0"/>
          <w:bCs w:val="0"/>
        </w:rPr>
        <w:t>.</w:t>
      </w:r>
    </w:p>
    <w:p w14:paraId="62405A10" w14:textId="77777777" w:rsidR="004E7763" w:rsidRPr="00717544" w:rsidRDefault="004E7763" w:rsidP="004E7763">
      <w:pPr>
        <w:rPr>
          <w:rFonts w:eastAsiaTheme="minorHAnsi"/>
        </w:rPr>
      </w:pPr>
    </w:p>
    <w:p w14:paraId="495D7632" w14:textId="77777777" w:rsidR="00513B6C" w:rsidRPr="00F07BD7" w:rsidRDefault="00513B6C" w:rsidP="00513B6C">
      <w:pPr>
        <w:autoSpaceDE w:val="0"/>
        <w:autoSpaceDN w:val="0"/>
        <w:adjustRightInd w:val="0"/>
        <w:spacing w:line="240" w:lineRule="auto"/>
        <w:jc w:val="left"/>
        <w:rPr>
          <w:b/>
          <w:bCs/>
        </w:rPr>
      </w:pPr>
      <w:r w:rsidRPr="00F07BD7">
        <w:rPr>
          <w:b/>
          <w:bCs/>
        </w:rPr>
        <w:t xml:space="preserve">À propos de </w:t>
      </w:r>
      <w:proofErr w:type="spellStart"/>
      <w:r w:rsidRPr="00F07BD7">
        <w:rPr>
          <w:b/>
          <w:bCs/>
          <w:color w:val="000000"/>
        </w:rPr>
        <w:t>Géoméga</w:t>
      </w:r>
      <w:proofErr w:type="spellEnd"/>
      <w:r w:rsidRPr="00F07BD7">
        <w:rPr>
          <w:b/>
          <w:bCs/>
        </w:rPr>
        <w:t xml:space="preserve"> (</w:t>
      </w:r>
      <w:hyperlink r:id="rId12" w:history="1">
        <w:r w:rsidRPr="008C3AC0">
          <w:rPr>
            <w:rStyle w:val="Hyperlink"/>
            <w:b/>
            <w:bCs/>
          </w:rPr>
          <w:t>www.Geomega.ca</w:t>
        </w:r>
      </w:hyperlink>
      <w:r w:rsidRPr="00F07BD7">
        <w:rPr>
          <w:b/>
          <w:bCs/>
        </w:rPr>
        <w:t>)</w:t>
      </w:r>
    </w:p>
    <w:p w14:paraId="53125619" w14:textId="77777777" w:rsidR="00717544" w:rsidRPr="00E146FB" w:rsidRDefault="00717544" w:rsidP="00717544">
      <w:pPr>
        <w:spacing w:line="240" w:lineRule="auto"/>
        <w:rPr>
          <w:rFonts w:asciiTheme="minorHAnsi" w:hAnsiTheme="minorHAnsi" w:cstheme="minorHAnsi"/>
          <w:color w:val="000000"/>
          <w:shd w:val="clear" w:color="auto" w:fill="FFFFFF"/>
        </w:rPr>
      </w:pPr>
      <w:proofErr w:type="spellStart"/>
      <w:r w:rsidRPr="00E146FB">
        <w:rPr>
          <w:rFonts w:asciiTheme="minorHAnsi" w:hAnsiTheme="minorHAnsi" w:cstheme="minorHAnsi"/>
          <w:color w:val="000000"/>
        </w:rPr>
        <w:t>Géoméga</w:t>
      </w:r>
      <w:proofErr w:type="spellEnd"/>
      <w:r w:rsidRPr="00E146FB">
        <w:rPr>
          <w:rFonts w:asciiTheme="minorHAnsi" w:hAnsiTheme="minorHAnsi" w:cstheme="minorHAnsi"/>
          <w:color w:val="000000"/>
          <w:shd w:val="clear" w:color="auto" w:fill="FFFFFF"/>
        </w:rPr>
        <w:t xml:space="preserve"> développe des technologies innovantes pour l'extraction et la séparation des éléments des terres rares et d'autres métaux critiques essentiels pour un avenir durable. Axés sur les énergies renouvelables, l'électrification des véhicules, l'automatisation et la réduction de la consommation d'énergie, les aimants de terres rares ou néo-aimants (</w:t>
      </w:r>
      <w:proofErr w:type="spellStart"/>
      <w:r w:rsidRPr="00E146FB">
        <w:rPr>
          <w:rFonts w:asciiTheme="minorHAnsi" w:hAnsiTheme="minorHAnsi" w:cstheme="minorHAnsi"/>
          <w:color w:val="000000"/>
          <w:shd w:val="clear" w:color="auto" w:fill="FFFFFF"/>
        </w:rPr>
        <w:t>NdFeB</w:t>
      </w:r>
      <w:proofErr w:type="spellEnd"/>
      <w:r w:rsidRPr="00E146FB">
        <w:rPr>
          <w:rFonts w:asciiTheme="minorHAnsi" w:hAnsiTheme="minorHAnsi" w:cstheme="minorHAnsi"/>
          <w:color w:val="000000"/>
          <w:shd w:val="clear" w:color="auto" w:fill="FFFFFF"/>
        </w:rPr>
        <w:t xml:space="preserve">) sont au centre de toutes ces technologies. La stratégie de </w:t>
      </w:r>
      <w:proofErr w:type="spellStart"/>
      <w:r w:rsidRPr="00E146FB">
        <w:rPr>
          <w:rFonts w:asciiTheme="minorHAnsi" w:hAnsiTheme="minorHAnsi" w:cstheme="minorHAnsi"/>
          <w:color w:val="000000"/>
        </w:rPr>
        <w:t>Géoméga</w:t>
      </w:r>
      <w:proofErr w:type="spellEnd"/>
      <w:r w:rsidRPr="00E146FB">
        <w:rPr>
          <w:rFonts w:asciiTheme="minorHAnsi" w:hAnsiTheme="minorHAnsi" w:cstheme="minorHAnsi"/>
          <w:color w:val="000000"/>
          <w:shd w:val="clear" w:color="auto" w:fill="FFFFFF"/>
        </w:rPr>
        <w:t xml:space="preserve"> consiste à réduire progressivement les risques liés à sa technologie innovante et à générer des flux de trésorerie et un retour de valeur aux actionnaires tout en travaillant directement avec les principaux acteurs de ces industries pour recycler les aimants qui alimentent toutes ces technologies.</w:t>
      </w:r>
    </w:p>
    <w:p w14:paraId="017DCCA9" w14:textId="77777777" w:rsidR="00717544" w:rsidRPr="00E146FB" w:rsidRDefault="00717544" w:rsidP="00717544">
      <w:pPr>
        <w:spacing w:line="240" w:lineRule="auto"/>
        <w:rPr>
          <w:rFonts w:asciiTheme="minorHAnsi" w:hAnsiTheme="minorHAnsi" w:cstheme="minorHAnsi"/>
          <w:color w:val="000000"/>
          <w:shd w:val="clear" w:color="auto" w:fill="FFFFFF"/>
        </w:rPr>
      </w:pPr>
    </w:p>
    <w:p w14:paraId="52211F20" w14:textId="77777777" w:rsidR="00717544" w:rsidRPr="00E146FB" w:rsidRDefault="00717544" w:rsidP="00717544">
      <w:pPr>
        <w:spacing w:line="240" w:lineRule="auto"/>
        <w:rPr>
          <w:rFonts w:asciiTheme="minorHAnsi" w:hAnsiTheme="minorHAnsi" w:cstheme="minorHAnsi"/>
          <w:color w:val="000000"/>
          <w:shd w:val="clear" w:color="auto" w:fill="FFFFFF"/>
        </w:rPr>
      </w:pPr>
      <w:r w:rsidRPr="00E146FB">
        <w:rPr>
          <w:rFonts w:asciiTheme="minorHAnsi" w:hAnsiTheme="minorHAnsi" w:cstheme="minorHAnsi"/>
          <w:color w:val="000000"/>
          <w:shd w:val="clear" w:color="auto" w:fill="FFFFFF"/>
        </w:rPr>
        <w:t xml:space="preserve">Alors que ses technologies sont démontrées à plus grande échelle, </w:t>
      </w:r>
      <w:proofErr w:type="spellStart"/>
      <w:r w:rsidRPr="00E146FB">
        <w:rPr>
          <w:rFonts w:asciiTheme="minorHAnsi" w:hAnsiTheme="minorHAnsi" w:cstheme="minorHAnsi"/>
          <w:color w:val="000000"/>
        </w:rPr>
        <w:t>Géoméga</w:t>
      </w:r>
      <w:proofErr w:type="spellEnd"/>
      <w:r w:rsidRPr="00E146FB">
        <w:rPr>
          <w:rFonts w:asciiTheme="minorHAnsi" w:hAnsiTheme="minorHAnsi" w:cstheme="minorHAnsi"/>
          <w:color w:val="000000"/>
          <w:shd w:val="clear" w:color="auto" w:fill="FFFFFF"/>
        </w:rPr>
        <w:t xml:space="preserve"> s'est engagé à travailler avec des partenaires majeurs pour aider à extraire de la valeur des produits provenant de l’extraction minière, des résidus miniers et d'autres résidus industriels qui contiennent des terres rares et d'autres métaux critiques. Indépendamment du métal ou de la source, </w:t>
      </w:r>
      <w:proofErr w:type="spellStart"/>
      <w:r w:rsidRPr="00E146FB">
        <w:rPr>
          <w:rFonts w:asciiTheme="minorHAnsi" w:hAnsiTheme="minorHAnsi" w:cstheme="minorHAnsi"/>
          <w:color w:val="000000"/>
        </w:rPr>
        <w:t>Géoméga</w:t>
      </w:r>
      <w:proofErr w:type="spellEnd"/>
      <w:r w:rsidRPr="00E146FB">
        <w:rPr>
          <w:rFonts w:asciiTheme="minorHAnsi" w:hAnsiTheme="minorHAnsi" w:cstheme="minorHAnsi"/>
          <w:color w:val="000000"/>
          <w:shd w:val="clear" w:color="auto" w:fill="FFFFFF"/>
        </w:rPr>
        <w:t xml:space="preserve"> adopte une approche cohérente pour réduire l'impact environnemental et contribuer à réduire les émissions de gaz à effet de serre en recyclant les principaux réactifs du processus.</w:t>
      </w:r>
    </w:p>
    <w:p w14:paraId="5BB3DD26" w14:textId="77777777" w:rsidR="00717544" w:rsidRPr="00E146FB" w:rsidRDefault="00717544" w:rsidP="00717544">
      <w:pPr>
        <w:spacing w:line="240" w:lineRule="auto"/>
        <w:rPr>
          <w:rFonts w:asciiTheme="minorHAnsi" w:hAnsiTheme="minorHAnsi" w:cstheme="minorHAnsi"/>
          <w:color w:val="000000"/>
          <w:shd w:val="clear" w:color="auto" w:fill="FFFFFF"/>
        </w:rPr>
      </w:pPr>
    </w:p>
    <w:p w14:paraId="1E37EDE6" w14:textId="77777777" w:rsidR="00717544" w:rsidRPr="00E146FB" w:rsidRDefault="00717544" w:rsidP="00717544">
      <w:pPr>
        <w:spacing w:line="240" w:lineRule="auto"/>
        <w:rPr>
          <w:rFonts w:asciiTheme="minorHAnsi" w:hAnsiTheme="minorHAnsi" w:cstheme="minorHAnsi"/>
          <w:color w:val="000000"/>
          <w:shd w:val="clear" w:color="auto" w:fill="FFFFFF"/>
        </w:rPr>
      </w:pPr>
      <w:r w:rsidRPr="00E146FB">
        <w:rPr>
          <w:rFonts w:asciiTheme="minorHAnsi" w:hAnsiTheme="minorHAnsi" w:cstheme="minorHAnsi"/>
          <w:color w:val="000000"/>
          <w:shd w:val="clear" w:color="auto" w:fill="FFFFFF"/>
        </w:rPr>
        <w:t xml:space="preserve">Le projet principal de </w:t>
      </w:r>
      <w:proofErr w:type="spellStart"/>
      <w:r w:rsidRPr="00E146FB">
        <w:rPr>
          <w:rFonts w:asciiTheme="minorHAnsi" w:hAnsiTheme="minorHAnsi" w:cstheme="minorHAnsi"/>
          <w:color w:val="000000"/>
        </w:rPr>
        <w:t>Géoméga</w:t>
      </w:r>
      <w:proofErr w:type="spellEnd"/>
      <w:r w:rsidRPr="00E146FB">
        <w:rPr>
          <w:rFonts w:asciiTheme="minorHAnsi" w:hAnsiTheme="minorHAnsi" w:cstheme="minorHAnsi"/>
          <w:color w:val="000000"/>
          <w:shd w:val="clear" w:color="auto" w:fill="FFFFFF"/>
        </w:rPr>
        <w:t xml:space="preserve"> est basé sur la technologie ISR (</w:t>
      </w:r>
      <w:proofErr w:type="spellStart"/>
      <w:r w:rsidRPr="00E146FB">
        <w:rPr>
          <w:rFonts w:asciiTheme="minorHAnsi" w:hAnsiTheme="minorHAnsi" w:cstheme="minorHAnsi"/>
          <w:color w:val="000000"/>
          <w:shd w:val="clear" w:color="auto" w:fill="FFFFFF"/>
        </w:rPr>
        <w:t>Innord’s</w:t>
      </w:r>
      <w:proofErr w:type="spellEnd"/>
      <w:r w:rsidRPr="00E146FB">
        <w:rPr>
          <w:rFonts w:asciiTheme="minorHAnsi" w:hAnsiTheme="minorHAnsi" w:cstheme="minorHAnsi"/>
          <w:color w:val="000000"/>
          <w:shd w:val="clear" w:color="auto" w:fill="FFFFFF"/>
        </w:rPr>
        <w:t xml:space="preserve"> </w:t>
      </w:r>
      <w:proofErr w:type="spellStart"/>
      <w:r w:rsidRPr="00E146FB">
        <w:rPr>
          <w:rFonts w:asciiTheme="minorHAnsi" w:hAnsiTheme="minorHAnsi" w:cstheme="minorHAnsi"/>
          <w:color w:val="000000"/>
          <w:shd w:val="clear" w:color="auto" w:fill="FFFFFF"/>
        </w:rPr>
        <w:t>Separation</w:t>
      </w:r>
      <w:proofErr w:type="spellEnd"/>
      <w:r w:rsidRPr="00E146FB">
        <w:rPr>
          <w:rFonts w:asciiTheme="minorHAnsi" w:hAnsiTheme="minorHAnsi" w:cstheme="minorHAnsi"/>
          <w:color w:val="000000"/>
          <w:shd w:val="clear" w:color="auto" w:fill="FFFFFF"/>
        </w:rPr>
        <w:t xml:space="preserve"> of Rare </w:t>
      </w:r>
      <w:proofErr w:type="spellStart"/>
      <w:r w:rsidRPr="00E146FB">
        <w:rPr>
          <w:rFonts w:asciiTheme="minorHAnsi" w:hAnsiTheme="minorHAnsi" w:cstheme="minorHAnsi"/>
          <w:color w:val="000000"/>
          <w:shd w:val="clear" w:color="auto" w:fill="FFFFFF"/>
        </w:rPr>
        <w:t>Earths</w:t>
      </w:r>
      <w:proofErr w:type="spellEnd"/>
      <w:r w:rsidRPr="00E146FB">
        <w:rPr>
          <w:rFonts w:asciiTheme="minorHAnsi" w:hAnsiTheme="minorHAnsi" w:cstheme="minorHAnsi"/>
          <w:color w:val="000000"/>
          <w:shd w:val="clear" w:color="auto" w:fill="FFFFFF"/>
        </w:rPr>
        <w:t>), un moyen exclusif, peu coûteux et respectueux de l’environnement, d’exploiter un marché mondial de 1,5 milliard de dollars canadiens pour recycler les rebuts de production d’aimants et les aimants en fin de vie de manière rentable et sécuritaire.</w:t>
      </w:r>
    </w:p>
    <w:p w14:paraId="62AE4407" w14:textId="77777777" w:rsidR="00717544" w:rsidRPr="00E146FB" w:rsidRDefault="00717544" w:rsidP="00717544">
      <w:pPr>
        <w:spacing w:line="240" w:lineRule="auto"/>
        <w:rPr>
          <w:rFonts w:asciiTheme="minorHAnsi" w:hAnsiTheme="minorHAnsi" w:cstheme="minorHAnsi"/>
          <w:color w:val="000000"/>
          <w:sz w:val="22"/>
          <w:szCs w:val="22"/>
          <w:shd w:val="clear" w:color="auto" w:fill="FFFFFF"/>
        </w:rPr>
      </w:pPr>
    </w:p>
    <w:p w14:paraId="5274B894" w14:textId="77777777" w:rsidR="00717544" w:rsidRPr="00E146FB" w:rsidRDefault="00717544" w:rsidP="00717544">
      <w:pPr>
        <w:spacing w:line="240" w:lineRule="auto"/>
        <w:rPr>
          <w:rFonts w:asciiTheme="minorHAnsi" w:hAnsiTheme="minorHAnsi" w:cstheme="minorHAnsi"/>
          <w:color w:val="000000"/>
          <w:shd w:val="clear" w:color="auto" w:fill="FFFFFF"/>
        </w:rPr>
      </w:pPr>
      <w:proofErr w:type="spellStart"/>
      <w:r w:rsidRPr="00E146FB">
        <w:rPr>
          <w:rFonts w:asciiTheme="minorHAnsi" w:hAnsiTheme="minorHAnsi" w:cstheme="minorHAnsi"/>
          <w:color w:val="000000"/>
        </w:rPr>
        <w:t>Géoméga</w:t>
      </w:r>
      <w:proofErr w:type="spellEnd"/>
      <w:r w:rsidRPr="00E146FB">
        <w:rPr>
          <w:rFonts w:asciiTheme="minorHAnsi" w:hAnsiTheme="minorHAnsi" w:cstheme="minorHAnsi"/>
          <w:color w:val="000000"/>
          <w:shd w:val="clear" w:color="auto" w:fill="FFFFFF"/>
        </w:rPr>
        <w:t xml:space="preserve"> est également propriétaire du gisement de terres rares de la Carbonatite de </w:t>
      </w:r>
      <w:proofErr w:type="spellStart"/>
      <w:r w:rsidRPr="00E146FB">
        <w:rPr>
          <w:rFonts w:asciiTheme="minorHAnsi" w:hAnsiTheme="minorHAnsi" w:cstheme="minorHAnsi"/>
          <w:color w:val="000000"/>
          <w:shd w:val="clear" w:color="auto" w:fill="FFFFFF"/>
        </w:rPr>
        <w:t>Montviel</w:t>
      </w:r>
      <w:proofErr w:type="spellEnd"/>
      <w:r w:rsidRPr="00E146FB">
        <w:rPr>
          <w:rFonts w:asciiTheme="minorHAnsi" w:hAnsiTheme="minorHAnsi" w:cstheme="minorHAnsi"/>
          <w:color w:val="000000"/>
          <w:shd w:val="clear" w:color="auto" w:fill="FFFFFF"/>
        </w:rPr>
        <w:t>, la plus grande estimation des ressources de bastnaésite 43-101 en Amérique du Nord et détient plus de 16,8 millions d'actions, représentant environ 1</w:t>
      </w:r>
      <w:r>
        <w:rPr>
          <w:rFonts w:asciiTheme="minorHAnsi" w:hAnsiTheme="minorHAnsi" w:cstheme="minorHAnsi"/>
          <w:color w:val="000000"/>
          <w:shd w:val="clear" w:color="auto" w:fill="FFFFFF"/>
        </w:rPr>
        <w:t>3</w:t>
      </w:r>
      <w:r w:rsidRPr="00E146FB">
        <w:rPr>
          <w:rFonts w:asciiTheme="minorHAnsi" w:hAnsiTheme="minorHAnsi" w:cstheme="minorHAnsi"/>
          <w:color w:val="000000"/>
          <w:shd w:val="clear" w:color="auto" w:fill="FFFFFF"/>
        </w:rPr>
        <w:t>% des actions émises et en circulation, de Kintavar Exploration Inc. (KTR.V), une société d'exploration minière qui</w:t>
      </w:r>
      <w:r>
        <w:rPr>
          <w:rFonts w:asciiTheme="minorHAnsi" w:hAnsiTheme="minorHAnsi" w:cstheme="minorHAnsi"/>
          <w:color w:val="000000"/>
          <w:shd w:val="clear" w:color="auto" w:fill="FFFFFF"/>
        </w:rPr>
        <w:t xml:space="preserve"> développe des projets cuprifères </w:t>
      </w:r>
      <w:r w:rsidRPr="00E146FB">
        <w:rPr>
          <w:rFonts w:asciiTheme="minorHAnsi" w:hAnsiTheme="minorHAnsi" w:cstheme="minorHAnsi"/>
          <w:color w:val="000000"/>
          <w:shd w:val="clear" w:color="auto" w:fill="FFFFFF"/>
        </w:rPr>
        <w:t>au Québec, Canada.</w:t>
      </w:r>
    </w:p>
    <w:p w14:paraId="62D9DF27" w14:textId="77777777" w:rsidR="00717544" w:rsidRPr="00E146FB" w:rsidRDefault="00717544" w:rsidP="00717544">
      <w:pPr>
        <w:spacing w:line="23" w:lineRule="atLeast"/>
        <w:rPr>
          <w:rFonts w:asciiTheme="minorHAnsi" w:hAnsiTheme="minorHAnsi" w:cstheme="minorHAnsi"/>
          <w:color w:val="000000"/>
          <w:shd w:val="clear" w:color="auto" w:fill="FFFFFF"/>
        </w:rPr>
      </w:pPr>
    </w:p>
    <w:p w14:paraId="5B52CFC1" w14:textId="77777777" w:rsidR="00717544" w:rsidRPr="00E146FB" w:rsidRDefault="00717544" w:rsidP="00717544">
      <w:pPr>
        <w:spacing w:line="240" w:lineRule="auto"/>
        <w:rPr>
          <w:rFonts w:asciiTheme="minorHAnsi" w:hAnsiTheme="minorHAnsi" w:cstheme="minorHAnsi"/>
          <w:b/>
        </w:rPr>
      </w:pPr>
      <w:r w:rsidRPr="00E146FB">
        <w:rPr>
          <w:rFonts w:asciiTheme="minorHAnsi" w:hAnsiTheme="minorHAnsi" w:cstheme="minorHAnsi"/>
          <w:b/>
        </w:rPr>
        <w:t>Pour plus de détails, contactez:</w:t>
      </w:r>
    </w:p>
    <w:tbl>
      <w:tblPr>
        <w:tblW w:w="6815" w:type="dxa"/>
        <w:tblInd w:w="108" w:type="dxa"/>
        <w:tblLook w:val="04A0" w:firstRow="1" w:lastRow="0" w:firstColumn="1" w:lastColumn="0" w:noHBand="0" w:noVBand="1"/>
      </w:tblPr>
      <w:tblGrid>
        <w:gridCol w:w="6815"/>
      </w:tblGrid>
      <w:tr w:rsidR="00717544" w:rsidRPr="00E146FB" w14:paraId="7816D068" w14:textId="77777777" w:rsidTr="00B9350D">
        <w:tc>
          <w:tcPr>
            <w:tcW w:w="6815" w:type="dxa"/>
            <w:shd w:val="clear" w:color="auto" w:fill="auto"/>
          </w:tcPr>
          <w:p w14:paraId="12F9113B" w14:textId="77777777" w:rsidR="00717544" w:rsidRPr="00E146FB" w:rsidRDefault="00717544" w:rsidP="00B9350D">
            <w:pPr>
              <w:pStyle w:val="NormalWeb"/>
              <w:spacing w:before="0" w:beforeAutospacing="0" w:after="0" w:afterAutospacing="0"/>
              <w:jc w:val="both"/>
              <w:rPr>
                <w:rFonts w:asciiTheme="minorHAnsi" w:hAnsiTheme="minorHAnsi" w:cstheme="minorHAnsi"/>
                <w:color w:val="000000"/>
                <w:spacing w:val="-4"/>
                <w:w w:val="105"/>
                <w:lang w:eastAsia="en-US"/>
              </w:rPr>
            </w:pPr>
            <w:r w:rsidRPr="00E146FB">
              <w:rPr>
                <w:rFonts w:asciiTheme="minorHAnsi" w:hAnsiTheme="minorHAnsi" w:cstheme="minorHAnsi"/>
                <w:color w:val="000000"/>
                <w:spacing w:val="-4"/>
                <w:w w:val="105"/>
                <w:lang w:eastAsia="en-US"/>
              </w:rPr>
              <w:t>Kiril Mugerman</w:t>
            </w:r>
          </w:p>
        </w:tc>
      </w:tr>
      <w:tr w:rsidR="00717544" w:rsidRPr="00E146FB" w14:paraId="053A3A24" w14:textId="77777777" w:rsidTr="00B9350D">
        <w:tc>
          <w:tcPr>
            <w:tcW w:w="6815" w:type="dxa"/>
            <w:shd w:val="clear" w:color="auto" w:fill="auto"/>
          </w:tcPr>
          <w:p w14:paraId="1E462D07" w14:textId="77777777" w:rsidR="00717544" w:rsidRPr="00E146FB" w:rsidRDefault="00717544" w:rsidP="00B9350D">
            <w:pPr>
              <w:pStyle w:val="NormalWeb"/>
              <w:spacing w:before="0" w:beforeAutospacing="0" w:after="0" w:afterAutospacing="0"/>
              <w:jc w:val="both"/>
              <w:rPr>
                <w:rFonts w:asciiTheme="minorHAnsi" w:hAnsiTheme="minorHAnsi" w:cstheme="minorHAnsi"/>
                <w:color w:val="000000"/>
                <w:spacing w:val="-4"/>
                <w:w w:val="105"/>
                <w:lang w:eastAsia="en-US"/>
              </w:rPr>
            </w:pPr>
            <w:r w:rsidRPr="00E146FB">
              <w:rPr>
                <w:rFonts w:asciiTheme="minorHAnsi" w:hAnsiTheme="minorHAnsi" w:cstheme="minorHAnsi"/>
                <w:color w:val="000000"/>
                <w:spacing w:val="-4"/>
                <w:w w:val="105"/>
                <w:lang w:eastAsia="en-US"/>
              </w:rPr>
              <w:t>Président &amp; CEO</w:t>
            </w:r>
          </w:p>
        </w:tc>
      </w:tr>
      <w:tr w:rsidR="00717544" w:rsidRPr="00E146FB" w14:paraId="7E38B678" w14:textId="77777777" w:rsidTr="00B9350D">
        <w:tc>
          <w:tcPr>
            <w:tcW w:w="6815" w:type="dxa"/>
            <w:shd w:val="clear" w:color="auto" w:fill="auto"/>
          </w:tcPr>
          <w:p w14:paraId="25D52D54" w14:textId="77777777" w:rsidR="00717544" w:rsidRPr="00E146FB" w:rsidRDefault="00717544" w:rsidP="00B9350D">
            <w:pPr>
              <w:pStyle w:val="NormalWeb"/>
              <w:spacing w:before="0" w:beforeAutospacing="0" w:after="0" w:afterAutospacing="0"/>
              <w:jc w:val="both"/>
              <w:rPr>
                <w:rFonts w:asciiTheme="minorHAnsi" w:hAnsiTheme="minorHAnsi" w:cstheme="minorHAnsi"/>
                <w:color w:val="000000"/>
                <w:spacing w:val="-4"/>
                <w:w w:val="105"/>
                <w:lang w:eastAsia="en-US"/>
              </w:rPr>
            </w:pPr>
            <w:proofErr w:type="spellStart"/>
            <w:r w:rsidRPr="00E146FB">
              <w:rPr>
                <w:rFonts w:asciiTheme="minorHAnsi" w:hAnsiTheme="minorHAnsi" w:cstheme="minorHAnsi"/>
                <w:color w:val="000000"/>
                <w:spacing w:val="-4"/>
                <w:w w:val="105"/>
                <w:lang w:eastAsia="en-US"/>
              </w:rPr>
              <w:t>Géoméga</w:t>
            </w:r>
            <w:proofErr w:type="spellEnd"/>
          </w:p>
        </w:tc>
      </w:tr>
      <w:tr w:rsidR="00717544" w:rsidRPr="00E146FB" w14:paraId="51A79806" w14:textId="77777777" w:rsidTr="00B9350D">
        <w:tc>
          <w:tcPr>
            <w:tcW w:w="6815" w:type="dxa"/>
            <w:shd w:val="clear" w:color="auto" w:fill="auto"/>
          </w:tcPr>
          <w:p w14:paraId="60BD1A52" w14:textId="77777777" w:rsidR="00717544" w:rsidRPr="00E146FB" w:rsidRDefault="00717544" w:rsidP="00B9350D">
            <w:pPr>
              <w:pStyle w:val="NormalWeb"/>
              <w:spacing w:before="0" w:beforeAutospacing="0" w:after="0" w:afterAutospacing="0"/>
              <w:jc w:val="both"/>
              <w:rPr>
                <w:rFonts w:asciiTheme="minorHAnsi" w:hAnsiTheme="minorHAnsi" w:cstheme="minorHAnsi"/>
                <w:color w:val="000000"/>
                <w:spacing w:val="-4"/>
                <w:w w:val="105"/>
                <w:lang w:eastAsia="en-US"/>
              </w:rPr>
            </w:pPr>
            <w:r w:rsidRPr="00E146FB">
              <w:rPr>
                <w:rFonts w:asciiTheme="minorHAnsi" w:hAnsiTheme="minorHAnsi" w:cstheme="minorHAnsi"/>
                <w:color w:val="000000"/>
                <w:spacing w:val="-4"/>
                <w:w w:val="105"/>
                <w:lang w:eastAsia="en-US"/>
              </w:rPr>
              <w:t>450-641-5119 ext.5653</w:t>
            </w:r>
          </w:p>
        </w:tc>
      </w:tr>
      <w:tr w:rsidR="00717544" w:rsidRPr="00E146FB" w14:paraId="08EE8B82" w14:textId="77777777" w:rsidTr="00B9350D">
        <w:tc>
          <w:tcPr>
            <w:tcW w:w="6815" w:type="dxa"/>
            <w:shd w:val="clear" w:color="auto" w:fill="auto"/>
          </w:tcPr>
          <w:p w14:paraId="25800F06" w14:textId="77777777" w:rsidR="00717544" w:rsidRPr="00E146FB" w:rsidRDefault="00000000" w:rsidP="00B9350D">
            <w:pPr>
              <w:pStyle w:val="NormalWeb"/>
              <w:spacing w:before="0" w:beforeAutospacing="0" w:after="0" w:afterAutospacing="0"/>
              <w:jc w:val="both"/>
              <w:rPr>
                <w:rStyle w:val="Lienhypertexte1"/>
                <w:rFonts w:asciiTheme="minorHAnsi" w:hAnsiTheme="minorHAnsi" w:cstheme="minorHAnsi"/>
                <w:color w:val="0070C0"/>
                <w:spacing w:val="-4"/>
                <w:w w:val="105"/>
                <w:sz w:val="22"/>
                <w:szCs w:val="22"/>
                <w:lang w:eastAsia="en-US"/>
              </w:rPr>
            </w:pPr>
            <w:hyperlink r:id="rId13" w:history="1">
              <w:r w:rsidR="00717544" w:rsidRPr="00E146FB">
                <w:rPr>
                  <w:rStyle w:val="Hyperlink"/>
                  <w:rFonts w:asciiTheme="minorHAnsi" w:hAnsiTheme="minorHAnsi" w:cstheme="minorHAnsi"/>
                  <w:spacing w:val="-4"/>
                  <w:w w:val="105"/>
                  <w:sz w:val="22"/>
                  <w:szCs w:val="22"/>
                  <w:lang w:eastAsia="en-US"/>
                </w:rPr>
                <w:t>kmugerman@Geomega.ca</w:t>
              </w:r>
            </w:hyperlink>
          </w:p>
          <w:p w14:paraId="3CCD21C9" w14:textId="77777777" w:rsidR="00717544" w:rsidRPr="00E146FB" w:rsidRDefault="00717544" w:rsidP="00B9350D">
            <w:pPr>
              <w:pStyle w:val="NormalWeb"/>
              <w:spacing w:before="0" w:beforeAutospacing="0" w:after="0" w:afterAutospacing="0"/>
              <w:jc w:val="both"/>
              <w:rPr>
                <w:rStyle w:val="Lienhypertexte1"/>
                <w:rFonts w:asciiTheme="minorHAnsi" w:hAnsiTheme="minorHAnsi" w:cstheme="minorHAnsi"/>
                <w:spacing w:val="-4"/>
                <w:w w:val="105"/>
              </w:rPr>
            </w:pPr>
          </w:p>
          <w:p w14:paraId="2495F63C" w14:textId="77777777" w:rsidR="00717544" w:rsidRPr="00717544" w:rsidRDefault="00717544" w:rsidP="00B9350D">
            <w:pPr>
              <w:pStyle w:val="NormalWeb"/>
              <w:spacing w:before="0" w:beforeAutospacing="0" w:after="0" w:afterAutospacing="0"/>
              <w:jc w:val="both"/>
              <w:rPr>
                <w:color w:val="000000"/>
                <w:lang w:eastAsia="en-US"/>
              </w:rPr>
            </w:pPr>
            <w:r w:rsidRPr="00717544">
              <w:rPr>
                <w:color w:val="000000"/>
                <w:lang w:eastAsia="en-US"/>
              </w:rPr>
              <w:t>Nancy Thompson</w:t>
            </w:r>
          </w:p>
          <w:p w14:paraId="281429F3" w14:textId="77777777" w:rsidR="00717544" w:rsidRPr="00717544" w:rsidRDefault="00717544" w:rsidP="00B9350D">
            <w:pPr>
              <w:pStyle w:val="NormalWeb"/>
              <w:spacing w:before="0" w:beforeAutospacing="0" w:after="0" w:afterAutospacing="0"/>
              <w:jc w:val="both"/>
              <w:rPr>
                <w:color w:val="000000"/>
                <w:lang w:eastAsia="en-US"/>
              </w:rPr>
            </w:pPr>
            <w:proofErr w:type="spellStart"/>
            <w:r w:rsidRPr="00717544">
              <w:rPr>
                <w:color w:val="000000"/>
                <w:lang w:eastAsia="en-US"/>
              </w:rPr>
              <w:t>Vorticom</w:t>
            </w:r>
            <w:proofErr w:type="spellEnd"/>
            <w:r w:rsidRPr="00717544">
              <w:rPr>
                <w:color w:val="000000"/>
                <w:lang w:eastAsia="en-US"/>
              </w:rPr>
              <w:t xml:space="preserve"> Public Relations</w:t>
            </w:r>
          </w:p>
          <w:p w14:paraId="289A1410" w14:textId="77777777" w:rsidR="00717544" w:rsidRPr="00717544" w:rsidRDefault="00717544" w:rsidP="00B9350D">
            <w:pPr>
              <w:pStyle w:val="NormalWeb"/>
              <w:spacing w:before="0" w:beforeAutospacing="0" w:after="0" w:afterAutospacing="0"/>
              <w:jc w:val="both"/>
              <w:rPr>
                <w:color w:val="000000"/>
                <w:lang w:eastAsia="en-US"/>
              </w:rPr>
            </w:pPr>
            <w:r w:rsidRPr="00717544">
              <w:rPr>
                <w:color w:val="000000"/>
                <w:lang w:eastAsia="en-US"/>
              </w:rPr>
              <w:t>212-532-2208</w:t>
            </w:r>
          </w:p>
          <w:p w14:paraId="3A0079E9" w14:textId="77777777" w:rsidR="00717544" w:rsidRPr="00E146FB" w:rsidRDefault="00000000" w:rsidP="00B9350D">
            <w:pPr>
              <w:pStyle w:val="NormalWeb"/>
              <w:spacing w:before="0" w:beforeAutospacing="0" w:after="0" w:afterAutospacing="0"/>
              <w:jc w:val="both"/>
              <w:rPr>
                <w:rStyle w:val="Lienhypertexte1"/>
                <w:rFonts w:asciiTheme="minorHAnsi" w:hAnsiTheme="minorHAnsi" w:cstheme="minorHAnsi"/>
                <w:color w:val="0563C1"/>
                <w:spacing w:val="-4"/>
                <w:w w:val="105"/>
                <w:sz w:val="22"/>
                <w:szCs w:val="22"/>
              </w:rPr>
            </w:pPr>
            <w:hyperlink r:id="rId14" w:history="1">
              <w:r w:rsidR="00717544" w:rsidRPr="00E146FB">
                <w:rPr>
                  <w:rStyle w:val="Hyperlink"/>
                  <w:rFonts w:asciiTheme="minorHAnsi" w:hAnsiTheme="minorHAnsi" w:cstheme="minorHAnsi"/>
                  <w:spacing w:val="-4"/>
                  <w:w w:val="105"/>
                  <w:sz w:val="22"/>
                  <w:szCs w:val="22"/>
                </w:rPr>
                <w:t>nancyt@vorticom.com</w:t>
              </w:r>
            </w:hyperlink>
          </w:p>
          <w:p w14:paraId="3F51C027" w14:textId="77777777" w:rsidR="00717544" w:rsidRPr="00717544" w:rsidRDefault="00717544" w:rsidP="00B9350D">
            <w:pPr>
              <w:pStyle w:val="NormalWeb"/>
              <w:spacing w:before="0" w:beforeAutospacing="0" w:after="0" w:afterAutospacing="0"/>
              <w:jc w:val="both"/>
              <w:rPr>
                <w:rStyle w:val="Lienhypertexte1"/>
                <w:rFonts w:asciiTheme="minorHAnsi" w:hAnsiTheme="minorHAnsi" w:cstheme="minorHAnsi"/>
                <w:spacing w:val="-4"/>
                <w:w w:val="105"/>
                <w:u w:val="none"/>
              </w:rPr>
            </w:pPr>
            <w:r w:rsidRPr="00717544">
              <w:rPr>
                <w:rStyle w:val="Lienhypertexte1"/>
                <w:rFonts w:asciiTheme="minorHAnsi" w:hAnsiTheme="minorHAnsi" w:cstheme="minorHAnsi"/>
                <w:color w:val="auto"/>
                <w:spacing w:val="-4"/>
                <w:w w:val="105"/>
                <w:u w:val="none"/>
              </w:rPr>
              <w:t>Twitter: @Geomega_REE</w:t>
            </w:r>
          </w:p>
          <w:p w14:paraId="3E457036" w14:textId="77777777" w:rsidR="00717544" w:rsidRPr="00E146FB" w:rsidRDefault="00717544" w:rsidP="00B9350D">
            <w:pPr>
              <w:pStyle w:val="NormalWeb"/>
              <w:spacing w:before="0" w:beforeAutospacing="0" w:after="0" w:afterAutospacing="0"/>
              <w:jc w:val="both"/>
              <w:rPr>
                <w:rFonts w:asciiTheme="minorHAnsi" w:hAnsiTheme="minorHAnsi" w:cstheme="minorHAnsi"/>
              </w:rPr>
            </w:pPr>
          </w:p>
        </w:tc>
      </w:tr>
    </w:tbl>
    <w:p w14:paraId="426A9D12" w14:textId="77777777" w:rsidR="00717544" w:rsidRPr="00E146FB" w:rsidRDefault="00717544" w:rsidP="00717544">
      <w:pPr>
        <w:rPr>
          <w:rFonts w:asciiTheme="minorHAnsi" w:hAnsiTheme="minorHAnsi" w:cstheme="minorHAnsi"/>
          <w:b/>
          <w:bCs/>
          <w:color w:val="000000"/>
        </w:rPr>
      </w:pPr>
      <w:r w:rsidRPr="00E146FB">
        <w:rPr>
          <w:rFonts w:asciiTheme="minorHAnsi" w:hAnsiTheme="minorHAnsi" w:cstheme="minorHAnsi"/>
          <w:b/>
          <w:bCs/>
          <w:color w:val="000000"/>
        </w:rPr>
        <w:t xml:space="preserve">Mises en garde concernant les énoncés prospectifs </w:t>
      </w:r>
    </w:p>
    <w:p w14:paraId="0F1880C7" w14:textId="77777777" w:rsidR="00717544" w:rsidRPr="00E146FB" w:rsidRDefault="00717544" w:rsidP="00717544">
      <w:pPr>
        <w:rPr>
          <w:rFonts w:asciiTheme="minorHAnsi" w:hAnsiTheme="minorHAnsi" w:cstheme="minorHAnsi"/>
          <w:b/>
          <w:bCs/>
          <w:color w:val="000000"/>
        </w:rPr>
      </w:pPr>
    </w:p>
    <w:p w14:paraId="3A10FF7A" w14:textId="77777777" w:rsidR="00717544" w:rsidRPr="00E146FB" w:rsidRDefault="00717544" w:rsidP="00717544">
      <w:pPr>
        <w:autoSpaceDE w:val="0"/>
        <w:autoSpaceDN w:val="0"/>
        <w:adjustRightInd w:val="0"/>
        <w:spacing w:line="240" w:lineRule="auto"/>
        <w:rPr>
          <w:rFonts w:asciiTheme="minorHAnsi" w:hAnsiTheme="minorHAnsi" w:cstheme="minorHAnsi"/>
          <w:i/>
          <w:color w:val="333333"/>
          <w:sz w:val="20"/>
          <w:szCs w:val="20"/>
          <w:lang w:eastAsia="fr-CA"/>
        </w:rPr>
      </w:pPr>
      <w:r w:rsidRPr="00E146FB">
        <w:rPr>
          <w:rFonts w:asciiTheme="minorHAnsi" w:hAnsiTheme="minorHAnsi" w:cstheme="minorHAnsi"/>
          <w:i/>
          <w:color w:val="333333"/>
          <w:sz w:val="20"/>
          <w:szCs w:val="20"/>
          <w:lang w:eastAsia="fr-CA"/>
        </w:rPr>
        <w:t>La Bourse de croissance TSX et son fournisseur de services de réglementation (au sens attribué à ce terme dans les politiques de la Bourse de croissance TSX) n’assument aucune responsabilité à l’égard de la pertinence ou de l’exactitude du présent communiqué.</w:t>
      </w:r>
    </w:p>
    <w:p w14:paraId="3925B31A" w14:textId="77777777" w:rsidR="00717544" w:rsidRPr="00E146FB" w:rsidRDefault="00717544" w:rsidP="00717544">
      <w:pPr>
        <w:autoSpaceDE w:val="0"/>
        <w:autoSpaceDN w:val="0"/>
        <w:adjustRightInd w:val="0"/>
        <w:spacing w:line="240" w:lineRule="auto"/>
        <w:rPr>
          <w:rFonts w:asciiTheme="minorHAnsi" w:hAnsiTheme="minorHAnsi" w:cstheme="minorHAnsi"/>
          <w:i/>
          <w:color w:val="333333"/>
          <w:sz w:val="20"/>
          <w:szCs w:val="20"/>
          <w:lang w:eastAsia="fr-CA"/>
        </w:rPr>
      </w:pPr>
    </w:p>
    <w:p w14:paraId="7654C6BB" w14:textId="77777777" w:rsidR="00717544" w:rsidRPr="00E146FB" w:rsidRDefault="00717544" w:rsidP="00717544">
      <w:pPr>
        <w:autoSpaceDE w:val="0"/>
        <w:autoSpaceDN w:val="0"/>
        <w:adjustRightInd w:val="0"/>
        <w:spacing w:line="240" w:lineRule="auto"/>
        <w:rPr>
          <w:rFonts w:asciiTheme="minorHAnsi" w:hAnsiTheme="minorHAnsi" w:cstheme="minorHAnsi"/>
          <w:i/>
          <w:color w:val="333333"/>
        </w:rPr>
      </w:pPr>
      <w:r w:rsidRPr="00E146FB">
        <w:rPr>
          <w:rFonts w:asciiTheme="minorHAnsi" w:hAnsiTheme="minorHAnsi" w:cstheme="minorHAnsi"/>
          <w:i/>
          <w:color w:val="333333"/>
          <w:sz w:val="20"/>
          <w:szCs w:val="20"/>
          <w:lang w:eastAsia="fr-CA"/>
        </w:rPr>
        <w:t xml:space="preserve">Ce communiqué de presse peut contenir de l’information prospective ou des énoncés prospectifs au sens des lois sur les valeurs mobilières canadiennes applicables. L’information prospective et les énoncés prospectifs peuvent inclure entre autres, des énoncés relatifs aux projets, les coûts, les objectifs et la performance de la Société, ou des hypothèses relatives à ce qui précède. Dans ce </w:t>
      </w:r>
      <w:r w:rsidRPr="00E146FB">
        <w:rPr>
          <w:rFonts w:asciiTheme="minorHAnsi" w:hAnsiTheme="minorHAnsi" w:cstheme="minorHAnsi"/>
          <w:i/>
          <w:color w:val="333333"/>
          <w:sz w:val="20"/>
          <w:szCs w:val="20"/>
          <w:lang w:eastAsia="fr-CA"/>
        </w:rPr>
        <w:lastRenderedPageBreak/>
        <w:t>communiqué de presse, les termes comme « pouvoir », « croire », « s’attendre à », « avoir l’intention », « planifier », « prévoir », « potentiel », « projets », « estimer », « continuer », ou des variantes ou des formes négatives de tels termes ou encore d’une terminologie comparable, sont utilisés pour identifier des énoncés prospectifs. Les énoncés prospectifs ne devraient pas être interprétés comme une garantie des rendements ou résultats futurs, et ne devraient pas nécessairement donner des indications précises concernant le moment qu’un tel rendement pourra être réalisé. Rien ne garantit que les évènements prévus dans l’information prospective de ce communiqué de presse se concrétiseront, y compris la commercialisation des technologies mentionnées ci-dessus, ou, si l’un ou l’autre de ces évènements se concrétisent, quels seront les avantages que la Société en tirera. L’information prospective et les énoncés prospectifs sont basés sur l’information disponible au moment de la diffusion de ce communiqué de presse et/ou sur les prévisions faites de bonne foi par la direction, sous réserve des incertitudes, hypothèses et autres facteurs prévus ou non dont plusieurs sont indépendants de la volonté de la Société. Ces risques, incertitudes et hypothèses incluent sans s’y limiter, ceux décrits à la rubrique portant sur les facteurs de risque de la notice annuelle de la Société, pour l’exercice terminé le 31 mai 202</w:t>
      </w:r>
      <w:r>
        <w:rPr>
          <w:rFonts w:asciiTheme="minorHAnsi" w:hAnsiTheme="minorHAnsi" w:cstheme="minorHAnsi"/>
          <w:i/>
          <w:color w:val="333333"/>
          <w:sz w:val="20"/>
          <w:szCs w:val="20"/>
          <w:lang w:eastAsia="fr-CA"/>
        </w:rPr>
        <w:t>3</w:t>
      </w:r>
      <w:r w:rsidRPr="00E146FB">
        <w:rPr>
          <w:rFonts w:asciiTheme="minorHAnsi" w:hAnsiTheme="minorHAnsi" w:cstheme="minorHAnsi"/>
          <w:i/>
          <w:color w:val="333333"/>
          <w:sz w:val="20"/>
          <w:szCs w:val="20"/>
          <w:lang w:eastAsia="fr-CA"/>
        </w:rPr>
        <w:t>, y compris la disponibilité de matières premières provenant de tierces parties raisonnablement disponibles pour l’usine de démonstration, laquelle est disponible sur SEDAR à l’adresse www.sedar.com; qui peuvent faire en sorte que les résultats, le rendement ou les résultats à venir de la Société soient considérablement différents de ceux indiqués de façon explicite ou implicite dans de tels énoncés prospectifs. La Société n’entend pas ni ne s’engage à actualiser ou revoir l’information prospective ou les énoncés prospectifs contenus dans ce communiqué de presse à la lumière de nouveaux renseignements, subséquents ou autres, sauf dans les cas prévus par les lois applicables.</w:t>
      </w:r>
    </w:p>
    <w:p w14:paraId="2E2AF9F4" w14:textId="5CE1183E" w:rsidR="008F5F61" w:rsidRPr="00503851" w:rsidRDefault="008F5F61" w:rsidP="00513B6C">
      <w:pPr>
        <w:autoSpaceDE w:val="0"/>
        <w:autoSpaceDN w:val="0"/>
        <w:adjustRightInd w:val="0"/>
        <w:rPr>
          <w:rFonts w:cs="Times New Roman"/>
          <w:i/>
          <w:color w:val="333333"/>
          <w:sz w:val="20"/>
          <w:szCs w:val="20"/>
          <w:lang w:eastAsia="fr-CA"/>
        </w:rPr>
      </w:pPr>
    </w:p>
    <w:sectPr w:rsidR="008F5F61" w:rsidRPr="00503851" w:rsidSect="008F5F61">
      <w:footerReference w:type="even" r:id="rId15"/>
      <w:footerReference w:type="default" r:id="rId16"/>
      <w:footerReference w:type="first" r:id="rId17"/>
      <w:pgSz w:w="12240" w:h="15840"/>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F683" w14:textId="77777777" w:rsidR="006216CD" w:rsidRDefault="006216CD">
      <w:pPr>
        <w:spacing w:line="240" w:lineRule="auto"/>
      </w:pPr>
      <w:r>
        <w:separator/>
      </w:r>
    </w:p>
  </w:endnote>
  <w:endnote w:type="continuationSeparator" w:id="0">
    <w:p w14:paraId="3C62CE9B" w14:textId="77777777" w:rsidR="006216CD" w:rsidRDefault="00621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erican Typewriter">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CE32" w14:textId="77777777" w:rsidR="00F02AE0" w:rsidRDefault="00F02AE0" w:rsidP="008F5F61">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7B3B" w14:textId="77777777" w:rsidR="00F02AE0" w:rsidRDefault="00F02AE0">
    <w:pPr>
      <w:pStyle w:val="Footer"/>
      <w:jc w:val="right"/>
    </w:pPr>
    <w:r>
      <w:fldChar w:fldCharType="begin"/>
    </w:r>
    <w:r>
      <w:instrText xml:space="preserve"> PAGE   \* MERGEFORMAT </w:instrText>
    </w:r>
    <w:r>
      <w:fldChar w:fldCharType="separate"/>
    </w:r>
    <w:r>
      <w:rPr>
        <w:noProof/>
      </w:rPr>
      <w:t>3</w:t>
    </w:r>
    <w:r>
      <w:fldChar w:fldCharType="end"/>
    </w:r>
  </w:p>
  <w:p w14:paraId="460737D0" w14:textId="77777777" w:rsidR="00F02AE0" w:rsidRDefault="00F02AE0" w:rsidP="008F5F61">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C698" w14:textId="77777777" w:rsidR="00F02AE0" w:rsidRDefault="00F02AE0" w:rsidP="008F5F6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6DBB" w14:textId="77777777" w:rsidR="006216CD" w:rsidRDefault="006216CD">
      <w:pPr>
        <w:spacing w:line="240" w:lineRule="auto"/>
      </w:pPr>
      <w:r>
        <w:separator/>
      </w:r>
    </w:p>
  </w:footnote>
  <w:footnote w:type="continuationSeparator" w:id="0">
    <w:p w14:paraId="5055F799" w14:textId="77777777" w:rsidR="006216CD" w:rsidRDefault="006216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E551A"/>
    <w:multiLevelType w:val="hybridMultilevel"/>
    <w:tmpl w:val="11765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464665"/>
    <w:multiLevelType w:val="hybridMultilevel"/>
    <w:tmpl w:val="B150C30C"/>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2" w15:restartNumberingAfterBreak="0">
    <w:nsid w:val="546974CF"/>
    <w:multiLevelType w:val="hybridMultilevel"/>
    <w:tmpl w:val="F620E976"/>
    <w:lvl w:ilvl="0" w:tplc="0E7E7B6E">
      <w:start w:val="1"/>
      <w:numFmt w:val="bullet"/>
      <w:lvlText w:val=""/>
      <w:lvlJc w:val="left"/>
      <w:pPr>
        <w:ind w:left="720" w:hanging="360"/>
      </w:pPr>
      <w:rPr>
        <w:rFonts w:ascii="Symbol" w:hAnsi="Symbol" w:hint="default"/>
      </w:rPr>
    </w:lvl>
    <w:lvl w:ilvl="1" w:tplc="A20C1B68" w:tentative="1">
      <w:start w:val="1"/>
      <w:numFmt w:val="bullet"/>
      <w:lvlText w:val="o"/>
      <w:lvlJc w:val="left"/>
      <w:pPr>
        <w:ind w:left="1440" w:hanging="360"/>
      </w:pPr>
      <w:rPr>
        <w:rFonts w:ascii="Courier New" w:hAnsi="Courier New" w:cs="Courier New" w:hint="default"/>
      </w:rPr>
    </w:lvl>
    <w:lvl w:ilvl="2" w:tplc="A3EAEC9A" w:tentative="1">
      <w:start w:val="1"/>
      <w:numFmt w:val="bullet"/>
      <w:lvlText w:val=""/>
      <w:lvlJc w:val="left"/>
      <w:pPr>
        <w:ind w:left="2160" w:hanging="360"/>
      </w:pPr>
      <w:rPr>
        <w:rFonts w:ascii="Wingdings" w:hAnsi="Wingdings" w:hint="default"/>
      </w:rPr>
    </w:lvl>
    <w:lvl w:ilvl="3" w:tplc="6FA8E4F2" w:tentative="1">
      <w:start w:val="1"/>
      <w:numFmt w:val="bullet"/>
      <w:lvlText w:val=""/>
      <w:lvlJc w:val="left"/>
      <w:pPr>
        <w:ind w:left="2880" w:hanging="360"/>
      </w:pPr>
      <w:rPr>
        <w:rFonts w:ascii="Symbol" w:hAnsi="Symbol" w:hint="default"/>
      </w:rPr>
    </w:lvl>
    <w:lvl w:ilvl="4" w:tplc="D8827C70" w:tentative="1">
      <w:start w:val="1"/>
      <w:numFmt w:val="bullet"/>
      <w:lvlText w:val="o"/>
      <w:lvlJc w:val="left"/>
      <w:pPr>
        <w:ind w:left="3600" w:hanging="360"/>
      </w:pPr>
      <w:rPr>
        <w:rFonts w:ascii="Courier New" w:hAnsi="Courier New" w:cs="Courier New" w:hint="default"/>
      </w:rPr>
    </w:lvl>
    <w:lvl w:ilvl="5" w:tplc="7622576E" w:tentative="1">
      <w:start w:val="1"/>
      <w:numFmt w:val="bullet"/>
      <w:lvlText w:val=""/>
      <w:lvlJc w:val="left"/>
      <w:pPr>
        <w:ind w:left="4320" w:hanging="360"/>
      </w:pPr>
      <w:rPr>
        <w:rFonts w:ascii="Wingdings" w:hAnsi="Wingdings" w:hint="default"/>
      </w:rPr>
    </w:lvl>
    <w:lvl w:ilvl="6" w:tplc="71262C96" w:tentative="1">
      <w:start w:val="1"/>
      <w:numFmt w:val="bullet"/>
      <w:lvlText w:val=""/>
      <w:lvlJc w:val="left"/>
      <w:pPr>
        <w:ind w:left="5040" w:hanging="360"/>
      </w:pPr>
      <w:rPr>
        <w:rFonts w:ascii="Symbol" w:hAnsi="Symbol" w:hint="default"/>
      </w:rPr>
    </w:lvl>
    <w:lvl w:ilvl="7" w:tplc="E5325BDC" w:tentative="1">
      <w:start w:val="1"/>
      <w:numFmt w:val="bullet"/>
      <w:lvlText w:val="o"/>
      <w:lvlJc w:val="left"/>
      <w:pPr>
        <w:ind w:left="5760" w:hanging="360"/>
      </w:pPr>
      <w:rPr>
        <w:rFonts w:ascii="Courier New" w:hAnsi="Courier New" w:cs="Courier New" w:hint="default"/>
      </w:rPr>
    </w:lvl>
    <w:lvl w:ilvl="8" w:tplc="6BBC9426" w:tentative="1">
      <w:start w:val="1"/>
      <w:numFmt w:val="bullet"/>
      <w:lvlText w:val=""/>
      <w:lvlJc w:val="left"/>
      <w:pPr>
        <w:ind w:left="6480" w:hanging="360"/>
      </w:pPr>
      <w:rPr>
        <w:rFonts w:ascii="Wingdings" w:hAnsi="Wingdings" w:hint="default"/>
      </w:rPr>
    </w:lvl>
  </w:abstractNum>
  <w:abstractNum w:abstractNumId="3" w15:restartNumberingAfterBreak="0">
    <w:nsid w:val="655662A7"/>
    <w:multiLevelType w:val="hybridMultilevel"/>
    <w:tmpl w:val="38B6F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B655CA"/>
    <w:multiLevelType w:val="hybridMultilevel"/>
    <w:tmpl w:val="DE028A1A"/>
    <w:lvl w:ilvl="0" w:tplc="A8CE6A12">
      <w:start w:val="1"/>
      <w:numFmt w:val="bullet"/>
      <w:lvlText w:val=""/>
      <w:lvlJc w:val="left"/>
      <w:pPr>
        <w:ind w:left="720" w:hanging="360"/>
      </w:pPr>
      <w:rPr>
        <w:rFonts w:ascii="Symbol" w:hAnsi="Symbol" w:hint="default"/>
      </w:rPr>
    </w:lvl>
    <w:lvl w:ilvl="1" w:tplc="D36C894C" w:tentative="1">
      <w:start w:val="1"/>
      <w:numFmt w:val="bullet"/>
      <w:lvlText w:val="o"/>
      <w:lvlJc w:val="left"/>
      <w:pPr>
        <w:ind w:left="1440" w:hanging="360"/>
      </w:pPr>
      <w:rPr>
        <w:rFonts w:ascii="Courier New" w:hAnsi="Courier New" w:cs="Courier New" w:hint="default"/>
      </w:rPr>
    </w:lvl>
    <w:lvl w:ilvl="2" w:tplc="AB9E72B4" w:tentative="1">
      <w:start w:val="1"/>
      <w:numFmt w:val="bullet"/>
      <w:lvlText w:val=""/>
      <w:lvlJc w:val="left"/>
      <w:pPr>
        <w:ind w:left="2160" w:hanging="360"/>
      </w:pPr>
      <w:rPr>
        <w:rFonts w:ascii="Wingdings" w:hAnsi="Wingdings" w:hint="default"/>
      </w:rPr>
    </w:lvl>
    <w:lvl w:ilvl="3" w:tplc="04322F62" w:tentative="1">
      <w:start w:val="1"/>
      <w:numFmt w:val="bullet"/>
      <w:lvlText w:val=""/>
      <w:lvlJc w:val="left"/>
      <w:pPr>
        <w:ind w:left="2880" w:hanging="360"/>
      </w:pPr>
      <w:rPr>
        <w:rFonts w:ascii="Symbol" w:hAnsi="Symbol" w:hint="default"/>
      </w:rPr>
    </w:lvl>
    <w:lvl w:ilvl="4" w:tplc="2390B2A8" w:tentative="1">
      <w:start w:val="1"/>
      <w:numFmt w:val="bullet"/>
      <w:lvlText w:val="o"/>
      <w:lvlJc w:val="left"/>
      <w:pPr>
        <w:ind w:left="3600" w:hanging="360"/>
      </w:pPr>
      <w:rPr>
        <w:rFonts w:ascii="Courier New" w:hAnsi="Courier New" w:cs="Courier New" w:hint="default"/>
      </w:rPr>
    </w:lvl>
    <w:lvl w:ilvl="5" w:tplc="6FAEF82C" w:tentative="1">
      <w:start w:val="1"/>
      <w:numFmt w:val="bullet"/>
      <w:lvlText w:val=""/>
      <w:lvlJc w:val="left"/>
      <w:pPr>
        <w:ind w:left="4320" w:hanging="360"/>
      </w:pPr>
      <w:rPr>
        <w:rFonts w:ascii="Wingdings" w:hAnsi="Wingdings" w:hint="default"/>
      </w:rPr>
    </w:lvl>
    <w:lvl w:ilvl="6" w:tplc="43685D3C" w:tentative="1">
      <w:start w:val="1"/>
      <w:numFmt w:val="bullet"/>
      <w:lvlText w:val=""/>
      <w:lvlJc w:val="left"/>
      <w:pPr>
        <w:ind w:left="5040" w:hanging="360"/>
      </w:pPr>
      <w:rPr>
        <w:rFonts w:ascii="Symbol" w:hAnsi="Symbol" w:hint="default"/>
      </w:rPr>
    </w:lvl>
    <w:lvl w:ilvl="7" w:tplc="1C7C1928" w:tentative="1">
      <w:start w:val="1"/>
      <w:numFmt w:val="bullet"/>
      <w:lvlText w:val="o"/>
      <w:lvlJc w:val="left"/>
      <w:pPr>
        <w:ind w:left="5760" w:hanging="360"/>
      </w:pPr>
      <w:rPr>
        <w:rFonts w:ascii="Courier New" w:hAnsi="Courier New" w:cs="Courier New" w:hint="default"/>
      </w:rPr>
    </w:lvl>
    <w:lvl w:ilvl="8" w:tplc="5EA2D37E" w:tentative="1">
      <w:start w:val="1"/>
      <w:numFmt w:val="bullet"/>
      <w:lvlText w:val=""/>
      <w:lvlJc w:val="left"/>
      <w:pPr>
        <w:ind w:left="6480" w:hanging="360"/>
      </w:pPr>
      <w:rPr>
        <w:rFonts w:ascii="Wingdings" w:hAnsi="Wingdings" w:hint="default"/>
      </w:rPr>
    </w:lvl>
  </w:abstractNum>
  <w:abstractNum w:abstractNumId="5" w15:restartNumberingAfterBreak="0">
    <w:nsid w:val="6C693685"/>
    <w:multiLevelType w:val="hybridMultilevel"/>
    <w:tmpl w:val="9DD0C6F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73734202"/>
    <w:multiLevelType w:val="hybridMultilevel"/>
    <w:tmpl w:val="184EEE1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77A701A2"/>
    <w:multiLevelType w:val="hybridMultilevel"/>
    <w:tmpl w:val="E8384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5834881">
    <w:abstractNumId w:val="2"/>
  </w:num>
  <w:num w:numId="2" w16cid:durableId="935136632">
    <w:abstractNumId w:val="4"/>
  </w:num>
  <w:num w:numId="3" w16cid:durableId="1310012580">
    <w:abstractNumId w:val="0"/>
  </w:num>
  <w:num w:numId="4" w16cid:durableId="1340162325">
    <w:abstractNumId w:val="5"/>
  </w:num>
  <w:num w:numId="5" w16cid:durableId="1172835664">
    <w:abstractNumId w:val="7"/>
  </w:num>
  <w:num w:numId="6" w16cid:durableId="507981659">
    <w:abstractNumId w:val="1"/>
  </w:num>
  <w:num w:numId="7" w16cid:durableId="961612665">
    <w:abstractNumId w:val="6"/>
  </w:num>
  <w:num w:numId="8" w16cid:durableId="1476993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SortMethod w:val="00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45"/>
    <w:rsid w:val="0002642C"/>
    <w:rsid w:val="00047130"/>
    <w:rsid w:val="0005632C"/>
    <w:rsid w:val="00057175"/>
    <w:rsid w:val="0006268A"/>
    <w:rsid w:val="000674A3"/>
    <w:rsid w:val="00086ABE"/>
    <w:rsid w:val="000963C7"/>
    <w:rsid w:val="000A5830"/>
    <w:rsid w:val="000A61C0"/>
    <w:rsid w:val="000A7FCE"/>
    <w:rsid w:val="000C05DB"/>
    <w:rsid w:val="000C1A07"/>
    <w:rsid w:val="000C38C5"/>
    <w:rsid w:val="000C5841"/>
    <w:rsid w:val="000F0717"/>
    <w:rsid w:val="000F53BC"/>
    <w:rsid w:val="00100931"/>
    <w:rsid w:val="001032F0"/>
    <w:rsid w:val="00107699"/>
    <w:rsid w:val="00116F4D"/>
    <w:rsid w:val="00125175"/>
    <w:rsid w:val="001311EE"/>
    <w:rsid w:val="00160B7D"/>
    <w:rsid w:val="001673BD"/>
    <w:rsid w:val="00173FA4"/>
    <w:rsid w:val="00174198"/>
    <w:rsid w:val="0018256A"/>
    <w:rsid w:val="001A2FBA"/>
    <w:rsid w:val="001A51E9"/>
    <w:rsid w:val="001B2DA3"/>
    <w:rsid w:val="001B6D42"/>
    <w:rsid w:val="001B6F6C"/>
    <w:rsid w:val="001B7040"/>
    <w:rsid w:val="001C13E1"/>
    <w:rsid w:val="001D0A35"/>
    <w:rsid w:val="001E08ED"/>
    <w:rsid w:val="001E5633"/>
    <w:rsid w:val="001F033F"/>
    <w:rsid w:val="00200434"/>
    <w:rsid w:val="00200C04"/>
    <w:rsid w:val="00202203"/>
    <w:rsid w:val="00212FC4"/>
    <w:rsid w:val="00216E9C"/>
    <w:rsid w:val="00223ACB"/>
    <w:rsid w:val="00230882"/>
    <w:rsid w:val="00231AE6"/>
    <w:rsid w:val="00236ABB"/>
    <w:rsid w:val="0024188A"/>
    <w:rsid w:val="0024316A"/>
    <w:rsid w:val="00270842"/>
    <w:rsid w:val="0028272A"/>
    <w:rsid w:val="00286FF8"/>
    <w:rsid w:val="00290628"/>
    <w:rsid w:val="00293109"/>
    <w:rsid w:val="002A53FC"/>
    <w:rsid w:val="002A6521"/>
    <w:rsid w:val="002B03E7"/>
    <w:rsid w:val="002C0966"/>
    <w:rsid w:val="002C0CE4"/>
    <w:rsid w:val="002C658C"/>
    <w:rsid w:val="002C6720"/>
    <w:rsid w:val="002D7344"/>
    <w:rsid w:val="002E00D6"/>
    <w:rsid w:val="00315D82"/>
    <w:rsid w:val="00316501"/>
    <w:rsid w:val="00322697"/>
    <w:rsid w:val="00322C68"/>
    <w:rsid w:val="003238C0"/>
    <w:rsid w:val="00325FC7"/>
    <w:rsid w:val="00326742"/>
    <w:rsid w:val="003416C8"/>
    <w:rsid w:val="003643F2"/>
    <w:rsid w:val="00366105"/>
    <w:rsid w:val="00372BFD"/>
    <w:rsid w:val="00373F19"/>
    <w:rsid w:val="00374B26"/>
    <w:rsid w:val="00383FFE"/>
    <w:rsid w:val="00397688"/>
    <w:rsid w:val="003B7226"/>
    <w:rsid w:val="003C48FC"/>
    <w:rsid w:val="003C6A71"/>
    <w:rsid w:val="003E3410"/>
    <w:rsid w:val="003F1CAE"/>
    <w:rsid w:val="004029C0"/>
    <w:rsid w:val="00411296"/>
    <w:rsid w:val="00413130"/>
    <w:rsid w:val="0042611B"/>
    <w:rsid w:val="004435F7"/>
    <w:rsid w:val="0044590A"/>
    <w:rsid w:val="004508E0"/>
    <w:rsid w:val="00451889"/>
    <w:rsid w:val="00466172"/>
    <w:rsid w:val="00472DAE"/>
    <w:rsid w:val="00487138"/>
    <w:rsid w:val="00492A8A"/>
    <w:rsid w:val="004A1DB8"/>
    <w:rsid w:val="004A35A9"/>
    <w:rsid w:val="004B18B1"/>
    <w:rsid w:val="004B561D"/>
    <w:rsid w:val="004E238E"/>
    <w:rsid w:val="004E7763"/>
    <w:rsid w:val="004F007D"/>
    <w:rsid w:val="00503851"/>
    <w:rsid w:val="00503ED3"/>
    <w:rsid w:val="00503FC5"/>
    <w:rsid w:val="00513B6C"/>
    <w:rsid w:val="005217CE"/>
    <w:rsid w:val="005407B7"/>
    <w:rsid w:val="00544CFE"/>
    <w:rsid w:val="00551638"/>
    <w:rsid w:val="00561A1D"/>
    <w:rsid w:val="005669C5"/>
    <w:rsid w:val="0057091A"/>
    <w:rsid w:val="00576980"/>
    <w:rsid w:val="00583EFC"/>
    <w:rsid w:val="0059119F"/>
    <w:rsid w:val="0059146E"/>
    <w:rsid w:val="00596D67"/>
    <w:rsid w:val="005A2FF8"/>
    <w:rsid w:val="005A72BC"/>
    <w:rsid w:val="005A77F1"/>
    <w:rsid w:val="005B6425"/>
    <w:rsid w:val="005D38DA"/>
    <w:rsid w:val="005E29B9"/>
    <w:rsid w:val="005E2F59"/>
    <w:rsid w:val="005E5893"/>
    <w:rsid w:val="005F49F1"/>
    <w:rsid w:val="005F50DF"/>
    <w:rsid w:val="005F53F8"/>
    <w:rsid w:val="0060148A"/>
    <w:rsid w:val="006060F2"/>
    <w:rsid w:val="00610843"/>
    <w:rsid w:val="00614C4B"/>
    <w:rsid w:val="00615BB4"/>
    <w:rsid w:val="006216CD"/>
    <w:rsid w:val="00623288"/>
    <w:rsid w:val="0063491C"/>
    <w:rsid w:val="006401DB"/>
    <w:rsid w:val="006429EB"/>
    <w:rsid w:val="006431E8"/>
    <w:rsid w:val="0065391D"/>
    <w:rsid w:val="006574F5"/>
    <w:rsid w:val="00662A07"/>
    <w:rsid w:val="00665913"/>
    <w:rsid w:val="0068177F"/>
    <w:rsid w:val="00684DD4"/>
    <w:rsid w:val="006959E0"/>
    <w:rsid w:val="006A0A44"/>
    <w:rsid w:val="006A4031"/>
    <w:rsid w:val="006A5643"/>
    <w:rsid w:val="006A709D"/>
    <w:rsid w:val="006C010C"/>
    <w:rsid w:val="006C1067"/>
    <w:rsid w:val="006C2820"/>
    <w:rsid w:val="006F4B0B"/>
    <w:rsid w:val="006F6BCF"/>
    <w:rsid w:val="006F7258"/>
    <w:rsid w:val="007007EB"/>
    <w:rsid w:val="007042DA"/>
    <w:rsid w:val="007145AF"/>
    <w:rsid w:val="0071615A"/>
    <w:rsid w:val="00717544"/>
    <w:rsid w:val="00731D6F"/>
    <w:rsid w:val="00737A1A"/>
    <w:rsid w:val="007569F4"/>
    <w:rsid w:val="007579ED"/>
    <w:rsid w:val="0076104C"/>
    <w:rsid w:val="00766AB8"/>
    <w:rsid w:val="0078234B"/>
    <w:rsid w:val="007843DE"/>
    <w:rsid w:val="007901E2"/>
    <w:rsid w:val="00794493"/>
    <w:rsid w:val="00795F39"/>
    <w:rsid w:val="007A2C75"/>
    <w:rsid w:val="007A5669"/>
    <w:rsid w:val="007A6701"/>
    <w:rsid w:val="007A7793"/>
    <w:rsid w:val="007B134F"/>
    <w:rsid w:val="007B1B79"/>
    <w:rsid w:val="007B7382"/>
    <w:rsid w:val="007B791B"/>
    <w:rsid w:val="007C44B8"/>
    <w:rsid w:val="007D647A"/>
    <w:rsid w:val="007E3E33"/>
    <w:rsid w:val="007F09FD"/>
    <w:rsid w:val="007F1DC4"/>
    <w:rsid w:val="00801FF0"/>
    <w:rsid w:val="00811380"/>
    <w:rsid w:val="0081502C"/>
    <w:rsid w:val="0082375C"/>
    <w:rsid w:val="008339EF"/>
    <w:rsid w:val="00836C54"/>
    <w:rsid w:val="0088214B"/>
    <w:rsid w:val="00884D6E"/>
    <w:rsid w:val="008862A1"/>
    <w:rsid w:val="008A3144"/>
    <w:rsid w:val="008A4C52"/>
    <w:rsid w:val="008A6868"/>
    <w:rsid w:val="008C33D1"/>
    <w:rsid w:val="008D5299"/>
    <w:rsid w:val="008F514B"/>
    <w:rsid w:val="008F5F61"/>
    <w:rsid w:val="0090234C"/>
    <w:rsid w:val="00912570"/>
    <w:rsid w:val="00913C9B"/>
    <w:rsid w:val="009178C9"/>
    <w:rsid w:val="00917DA0"/>
    <w:rsid w:val="009247DF"/>
    <w:rsid w:val="0093163E"/>
    <w:rsid w:val="00934E9D"/>
    <w:rsid w:val="00941814"/>
    <w:rsid w:val="00956B4C"/>
    <w:rsid w:val="00985DA9"/>
    <w:rsid w:val="00987BDA"/>
    <w:rsid w:val="00992465"/>
    <w:rsid w:val="009A653B"/>
    <w:rsid w:val="009C51AA"/>
    <w:rsid w:val="009D08E2"/>
    <w:rsid w:val="009D1621"/>
    <w:rsid w:val="009D5569"/>
    <w:rsid w:val="009E2303"/>
    <w:rsid w:val="009E42E9"/>
    <w:rsid w:val="009E52EB"/>
    <w:rsid w:val="009E6B96"/>
    <w:rsid w:val="009F0833"/>
    <w:rsid w:val="009F7992"/>
    <w:rsid w:val="00A06845"/>
    <w:rsid w:val="00A15CE4"/>
    <w:rsid w:val="00A3063A"/>
    <w:rsid w:val="00A34E3B"/>
    <w:rsid w:val="00A41D2D"/>
    <w:rsid w:val="00A55C0E"/>
    <w:rsid w:val="00A57DF5"/>
    <w:rsid w:val="00A616C6"/>
    <w:rsid w:val="00A7298E"/>
    <w:rsid w:val="00A8070E"/>
    <w:rsid w:val="00A95ACD"/>
    <w:rsid w:val="00AA0138"/>
    <w:rsid w:val="00AA07AE"/>
    <w:rsid w:val="00AC123D"/>
    <w:rsid w:val="00AC2E5F"/>
    <w:rsid w:val="00AC3E88"/>
    <w:rsid w:val="00AD4A19"/>
    <w:rsid w:val="00AF2F30"/>
    <w:rsid w:val="00AF3673"/>
    <w:rsid w:val="00B04499"/>
    <w:rsid w:val="00B1516A"/>
    <w:rsid w:val="00B325A0"/>
    <w:rsid w:val="00B370EB"/>
    <w:rsid w:val="00B5596B"/>
    <w:rsid w:val="00B76863"/>
    <w:rsid w:val="00B80445"/>
    <w:rsid w:val="00B8638E"/>
    <w:rsid w:val="00B90B4E"/>
    <w:rsid w:val="00B96B70"/>
    <w:rsid w:val="00BA07A1"/>
    <w:rsid w:val="00BA13AE"/>
    <w:rsid w:val="00BA244C"/>
    <w:rsid w:val="00BA34A4"/>
    <w:rsid w:val="00BA42DB"/>
    <w:rsid w:val="00BA7A59"/>
    <w:rsid w:val="00BC60BC"/>
    <w:rsid w:val="00BC6C18"/>
    <w:rsid w:val="00BC7BAB"/>
    <w:rsid w:val="00BD357A"/>
    <w:rsid w:val="00BE30C9"/>
    <w:rsid w:val="00BE43E3"/>
    <w:rsid w:val="00BF0956"/>
    <w:rsid w:val="00BF0BB5"/>
    <w:rsid w:val="00C01034"/>
    <w:rsid w:val="00C0552A"/>
    <w:rsid w:val="00C0560F"/>
    <w:rsid w:val="00C24131"/>
    <w:rsid w:val="00C27BFB"/>
    <w:rsid w:val="00C32BD6"/>
    <w:rsid w:val="00C33F2C"/>
    <w:rsid w:val="00C3425B"/>
    <w:rsid w:val="00C425C8"/>
    <w:rsid w:val="00C45F56"/>
    <w:rsid w:val="00C52BD4"/>
    <w:rsid w:val="00C7321A"/>
    <w:rsid w:val="00C74869"/>
    <w:rsid w:val="00C762AF"/>
    <w:rsid w:val="00C81EC4"/>
    <w:rsid w:val="00CA313C"/>
    <w:rsid w:val="00CA37AF"/>
    <w:rsid w:val="00CA5880"/>
    <w:rsid w:val="00CC1100"/>
    <w:rsid w:val="00CC4E4C"/>
    <w:rsid w:val="00CC5160"/>
    <w:rsid w:val="00CD31F0"/>
    <w:rsid w:val="00CF0310"/>
    <w:rsid w:val="00CF4C9C"/>
    <w:rsid w:val="00D055BE"/>
    <w:rsid w:val="00D07989"/>
    <w:rsid w:val="00D1204F"/>
    <w:rsid w:val="00D15C64"/>
    <w:rsid w:val="00D17E48"/>
    <w:rsid w:val="00D2200C"/>
    <w:rsid w:val="00D30621"/>
    <w:rsid w:val="00D31426"/>
    <w:rsid w:val="00D36523"/>
    <w:rsid w:val="00D40AC3"/>
    <w:rsid w:val="00D41435"/>
    <w:rsid w:val="00D553C8"/>
    <w:rsid w:val="00D5540E"/>
    <w:rsid w:val="00D6226C"/>
    <w:rsid w:val="00D67005"/>
    <w:rsid w:val="00D7749E"/>
    <w:rsid w:val="00D77554"/>
    <w:rsid w:val="00D86065"/>
    <w:rsid w:val="00D946F9"/>
    <w:rsid w:val="00DA6BE8"/>
    <w:rsid w:val="00DC4467"/>
    <w:rsid w:val="00DD1D8D"/>
    <w:rsid w:val="00DD564E"/>
    <w:rsid w:val="00DD66D5"/>
    <w:rsid w:val="00DD7BCF"/>
    <w:rsid w:val="00DE107D"/>
    <w:rsid w:val="00E127D1"/>
    <w:rsid w:val="00E16C31"/>
    <w:rsid w:val="00E1788F"/>
    <w:rsid w:val="00E31E56"/>
    <w:rsid w:val="00E327C4"/>
    <w:rsid w:val="00E329AB"/>
    <w:rsid w:val="00E35966"/>
    <w:rsid w:val="00E47D6E"/>
    <w:rsid w:val="00E5005D"/>
    <w:rsid w:val="00E61B97"/>
    <w:rsid w:val="00E738AB"/>
    <w:rsid w:val="00E76A97"/>
    <w:rsid w:val="00E92078"/>
    <w:rsid w:val="00EA1441"/>
    <w:rsid w:val="00EA66B6"/>
    <w:rsid w:val="00EA78F9"/>
    <w:rsid w:val="00EB0D0E"/>
    <w:rsid w:val="00EC2F24"/>
    <w:rsid w:val="00EC7465"/>
    <w:rsid w:val="00ED1874"/>
    <w:rsid w:val="00EE1674"/>
    <w:rsid w:val="00EE57B8"/>
    <w:rsid w:val="00EF0DE2"/>
    <w:rsid w:val="00F00F8D"/>
    <w:rsid w:val="00F02196"/>
    <w:rsid w:val="00F02AE0"/>
    <w:rsid w:val="00F14238"/>
    <w:rsid w:val="00F244F5"/>
    <w:rsid w:val="00F570C0"/>
    <w:rsid w:val="00F70A97"/>
    <w:rsid w:val="00F75B6E"/>
    <w:rsid w:val="00F803BC"/>
    <w:rsid w:val="00F80A17"/>
    <w:rsid w:val="00F819A3"/>
    <w:rsid w:val="00F85457"/>
    <w:rsid w:val="00F96236"/>
    <w:rsid w:val="00FC3948"/>
    <w:rsid w:val="00FC5EDE"/>
    <w:rsid w:val="00FD1926"/>
    <w:rsid w:val="00FD6388"/>
    <w:rsid w:val="00FE696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4AA5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DF"/>
    <w:pPr>
      <w:spacing w:line="276" w:lineRule="auto"/>
      <w:jc w:val="both"/>
    </w:pPr>
    <w:rPr>
      <w:sz w:val="24"/>
      <w:szCs w:val="24"/>
      <w:lang w:val="fr-CA" w:eastAsia="en-US"/>
    </w:rPr>
  </w:style>
  <w:style w:type="paragraph" w:styleId="Heading1">
    <w:name w:val="heading 1"/>
    <w:basedOn w:val="Normal"/>
    <w:next w:val="Normal"/>
    <w:link w:val="Heading1Char"/>
    <w:uiPriority w:val="9"/>
    <w:qFormat/>
    <w:rsid w:val="00E42980"/>
    <w:pPr>
      <w:keepNext/>
      <w:keepLines/>
      <w:spacing w:before="480"/>
      <w:outlineLvl w:val="0"/>
    </w:pPr>
    <w:rPr>
      <w:rFonts w:ascii="Calibri Light" w:eastAsia="MS Gothic" w:hAnsi="Calibri Light" w:cs="Times New Roman"/>
      <w:b/>
      <w:bCs/>
      <w:color w:val="2E74B5"/>
      <w:sz w:val="28"/>
      <w:szCs w:val="28"/>
      <w:lang w:val="x-none"/>
    </w:rPr>
  </w:style>
  <w:style w:type="paragraph" w:styleId="Heading2">
    <w:name w:val="heading 2"/>
    <w:basedOn w:val="Normal"/>
    <w:link w:val="Heading2Char"/>
    <w:uiPriority w:val="9"/>
    <w:qFormat/>
    <w:rsid w:val="00075866"/>
    <w:pPr>
      <w:spacing w:before="100" w:beforeAutospacing="1" w:after="100" w:afterAutospacing="1" w:line="240" w:lineRule="auto"/>
      <w:jc w:val="left"/>
      <w:outlineLvl w:val="1"/>
    </w:pPr>
    <w:rPr>
      <w:rFonts w:ascii="Times New Roman" w:hAnsi="Times New Roman" w:cs="Times New Roman"/>
      <w:b/>
      <w:bCs/>
      <w:sz w:val="36"/>
      <w:szCs w:val="36"/>
      <w:lang w:val="x-none" w:eastAsia="x-none"/>
    </w:rPr>
  </w:style>
  <w:style w:type="paragraph" w:styleId="Heading5">
    <w:name w:val="heading 5"/>
    <w:basedOn w:val="Normal"/>
    <w:next w:val="Normal"/>
    <w:link w:val="Heading5Char"/>
    <w:uiPriority w:val="9"/>
    <w:qFormat/>
    <w:rsid w:val="000478D3"/>
    <w:pPr>
      <w:keepNext/>
      <w:keepLines/>
      <w:spacing w:before="40"/>
      <w:outlineLvl w:val="4"/>
    </w:pPr>
    <w:rPr>
      <w:rFonts w:ascii="Calibri Light" w:eastAsia="MS Gothic" w:hAnsi="Calibri Light" w:cs="Times New Roman"/>
      <w:color w:val="2E74B5"/>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9649DF"/>
    <w:pPr>
      <w:ind w:left="720"/>
    </w:pPr>
  </w:style>
  <w:style w:type="paragraph" w:styleId="Footer">
    <w:name w:val="footer"/>
    <w:basedOn w:val="Normal"/>
    <w:link w:val="FooterChar"/>
    <w:uiPriority w:val="99"/>
    <w:unhideWhenUsed/>
    <w:rsid w:val="009649DF"/>
    <w:pPr>
      <w:tabs>
        <w:tab w:val="center" w:pos="4320"/>
        <w:tab w:val="right" w:pos="8640"/>
      </w:tabs>
      <w:spacing w:line="240" w:lineRule="auto"/>
    </w:pPr>
    <w:rPr>
      <w:rFonts w:cs="Times New Roman"/>
      <w:lang w:eastAsia="x-none"/>
    </w:rPr>
  </w:style>
  <w:style w:type="character" w:customStyle="1" w:styleId="FooterChar">
    <w:name w:val="Footer Char"/>
    <w:link w:val="Footer"/>
    <w:uiPriority w:val="99"/>
    <w:locked/>
    <w:rsid w:val="009649DF"/>
    <w:rPr>
      <w:rFonts w:ascii="Calibri" w:hAnsi="Calibri" w:cs="Calibri"/>
      <w:sz w:val="24"/>
      <w:szCs w:val="24"/>
      <w:lang w:val="fr-CA"/>
    </w:rPr>
  </w:style>
  <w:style w:type="character" w:styleId="Hyperlink">
    <w:name w:val="Hyperlink"/>
    <w:uiPriority w:val="99"/>
    <w:unhideWhenUsed/>
    <w:rsid w:val="00F06ABB"/>
    <w:rPr>
      <w:rFonts w:cs="Times New Roman"/>
      <w:color w:val="0000FF"/>
      <w:u w:val="single"/>
    </w:rPr>
  </w:style>
  <w:style w:type="paragraph" w:styleId="NormalWeb">
    <w:name w:val="Normal (Web)"/>
    <w:basedOn w:val="Normal"/>
    <w:uiPriority w:val="99"/>
    <w:unhideWhenUsed/>
    <w:rsid w:val="00524F24"/>
    <w:pPr>
      <w:spacing w:before="100" w:beforeAutospacing="1" w:after="100" w:afterAutospacing="1" w:line="240" w:lineRule="auto"/>
      <w:jc w:val="left"/>
    </w:pPr>
    <w:rPr>
      <w:rFonts w:ascii="Times New Roman" w:hAnsi="Times New Roman" w:cs="Times New Roman"/>
      <w:lang w:val="en-CA" w:eastAsia="en-CA"/>
    </w:rPr>
  </w:style>
  <w:style w:type="paragraph" w:styleId="BalloonText">
    <w:name w:val="Balloon Text"/>
    <w:basedOn w:val="Normal"/>
    <w:link w:val="BalloonTextChar"/>
    <w:uiPriority w:val="99"/>
    <w:semiHidden/>
    <w:unhideWhenUsed/>
    <w:rsid w:val="00777595"/>
    <w:pPr>
      <w:spacing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locked/>
    <w:rsid w:val="00777595"/>
    <w:rPr>
      <w:rFonts w:ascii="Tahoma" w:hAnsi="Tahoma" w:cs="Tahoma"/>
      <w:sz w:val="16"/>
      <w:szCs w:val="16"/>
      <w:lang w:val="fr-CA"/>
    </w:rPr>
  </w:style>
  <w:style w:type="character" w:styleId="CommentReference">
    <w:name w:val="annotation reference"/>
    <w:uiPriority w:val="99"/>
    <w:semiHidden/>
    <w:unhideWhenUsed/>
    <w:rsid w:val="00C44DDA"/>
    <w:rPr>
      <w:rFonts w:cs="Times New Roman"/>
      <w:sz w:val="16"/>
      <w:szCs w:val="16"/>
    </w:rPr>
  </w:style>
  <w:style w:type="paragraph" w:styleId="CommentText">
    <w:name w:val="annotation text"/>
    <w:basedOn w:val="Normal"/>
    <w:link w:val="CommentTextChar"/>
    <w:uiPriority w:val="99"/>
    <w:semiHidden/>
    <w:unhideWhenUsed/>
    <w:rsid w:val="00C44DDA"/>
    <w:pPr>
      <w:spacing w:line="240" w:lineRule="auto"/>
    </w:pPr>
    <w:rPr>
      <w:rFonts w:cs="Times New Roman"/>
      <w:sz w:val="20"/>
      <w:szCs w:val="20"/>
      <w:lang w:eastAsia="x-none"/>
    </w:rPr>
  </w:style>
  <w:style w:type="character" w:customStyle="1" w:styleId="CommentTextChar">
    <w:name w:val="Comment Text Char"/>
    <w:link w:val="CommentText"/>
    <w:uiPriority w:val="99"/>
    <w:semiHidden/>
    <w:locked/>
    <w:rsid w:val="00C44DDA"/>
    <w:rPr>
      <w:rFonts w:ascii="Calibri" w:hAnsi="Calibri" w:cs="Calibri"/>
      <w:sz w:val="20"/>
      <w:szCs w:val="20"/>
      <w:lang w:val="fr-CA"/>
    </w:rPr>
  </w:style>
  <w:style w:type="paragraph" w:styleId="CommentSubject">
    <w:name w:val="annotation subject"/>
    <w:basedOn w:val="CommentText"/>
    <w:next w:val="CommentText"/>
    <w:link w:val="CommentSubjectChar"/>
    <w:uiPriority w:val="99"/>
    <w:semiHidden/>
    <w:unhideWhenUsed/>
    <w:rsid w:val="00C44DDA"/>
    <w:rPr>
      <w:b/>
      <w:bCs/>
    </w:rPr>
  </w:style>
  <w:style w:type="character" w:customStyle="1" w:styleId="CommentSubjectChar">
    <w:name w:val="Comment Subject Char"/>
    <w:link w:val="CommentSubject"/>
    <w:uiPriority w:val="99"/>
    <w:semiHidden/>
    <w:locked/>
    <w:rsid w:val="00C44DDA"/>
    <w:rPr>
      <w:rFonts w:ascii="Calibri" w:hAnsi="Calibri" w:cs="Calibri"/>
      <w:b/>
      <w:bCs/>
      <w:sz w:val="20"/>
      <w:szCs w:val="20"/>
      <w:lang w:val="fr-CA"/>
    </w:rPr>
  </w:style>
  <w:style w:type="character" w:styleId="Strong">
    <w:name w:val="Strong"/>
    <w:uiPriority w:val="22"/>
    <w:qFormat/>
    <w:rsid w:val="00AF6279"/>
    <w:rPr>
      <w:rFonts w:cs="Times New Roman"/>
      <w:b/>
      <w:bCs/>
    </w:rPr>
  </w:style>
  <w:style w:type="table" w:styleId="TableGrid">
    <w:name w:val="Table Grid"/>
    <w:basedOn w:val="TableNormal"/>
    <w:uiPriority w:val="59"/>
    <w:rsid w:val="003128B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noteText">
    <w:name w:val="footnote text"/>
    <w:basedOn w:val="Normal"/>
    <w:link w:val="FootnoteTextChar"/>
    <w:uiPriority w:val="99"/>
    <w:unhideWhenUsed/>
    <w:rsid w:val="003E210E"/>
    <w:pPr>
      <w:spacing w:line="240" w:lineRule="auto"/>
      <w:jc w:val="left"/>
    </w:pPr>
    <w:rPr>
      <w:rFonts w:cs="Times New Roman"/>
      <w:sz w:val="20"/>
      <w:szCs w:val="20"/>
      <w:lang w:eastAsia="fr-CA"/>
    </w:rPr>
  </w:style>
  <w:style w:type="character" w:customStyle="1" w:styleId="FootnoteTextChar">
    <w:name w:val="Footnote Text Char"/>
    <w:link w:val="FootnoteText"/>
    <w:uiPriority w:val="99"/>
    <w:locked/>
    <w:rsid w:val="003E210E"/>
    <w:rPr>
      <w:rFonts w:ascii="Calibri" w:hAnsi="Calibri" w:cs="Times New Roman"/>
      <w:sz w:val="20"/>
      <w:szCs w:val="20"/>
      <w:lang w:val="fr-CA" w:eastAsia="fr-CA"/>
    </w:rPr>
  </w:style>
  <w:style w:type="character" w:styleId="FootnoteReference">
    <w:name w:val="footnote reference"/>
    <w:uiPriority w:val="99"/>
    <w:unhideWhenUsed/>
    <w:rsid w:val="003E210E"/>
    <w:rPr>
      <w:rFonts w:cs="Times New Roman"/>
      <w:vertAlign w:val="superscript"/>
    </w:rPr>
  </w:style>
  <w:style w:type="paragraph" w:styleId="EndnoteText">
    <w:name w:val="endnote text"/>
    <w:basedOn w:val="Normal"/>
    <w:link w:val="EndnoteTextChar"/>
    <w:uiPriority w:val="99"/>
    <w:semiHidden/>
    <w:unhideWhenUsed/>
    <w:rsid w:val="009B78FE"/>
    <w:pPr>
      <w:spacing w:line="240" w:lineRule="auto"/>
    </w:pPr>
    <w:rPr>
      <w:rFonts w:cs="Times New Roman"/>
      <w:sz w:val="20"/>
      <w:szCs w:val="20"/>
      <w:lang w:eastAsia="x-none"/>
    </w:rPr>
  </w:style>
  <w:style w:type="character" w:customStyle="1" w:styleId="EndnoteTextChar">
    <w:name w:val="Endnote Text Char"/>
    <w:link w:val="EndnoteText"/>
    <w:uiPriority w:val="99"/>
    <w:semiHidden/>
    <w:locked/>
    <w:rsid w:val="009B78FE"/>
    <w:rPr>
      <w:rFonts w:ascii="Calibri" w:hAnsi="Calibri" w:cs="Calibri"/>
      <w:sz w:val="20"/>
      <w:szCs w:val="20"/>
      <w:lang w:val="fr-CA"/>
    </w:rPr>
  </w:style>
  <w:style w:type="character" w:styleId="EndnoteReference">
    <w:name w:val="endnote reference"/>
    <w:uiPriority w:val="99"/>
    <w:semiHidden/>
    <w:unhideWhenUsed/>
    <w:rsid w:val="009B78FE"/>
    <w:rPr>
      <w:rFonts w:cs="Times New Roman"/>
      <w:vertAlign w:val="superscript"/>
    </w:rPr>
  </w:style>
  <w:style w:type="paragraph" w:customStyle="1" w:styleId="ecxmsonormal">
    <w:name w:val="ecxmsonormal"/>
    <w:basedOn w:val="Normal"/>
    <w:rsid w:val="00636829"/>
    <w:pPr>
      <w:spacing w:after="324" w:line="240" w:lineRule="auto"/>
      <w:jc w:val="left"/>
    </w:pPr>
    <w:rPr>
      <w:rFonts w:ascii="Times New Roman" w:hAnsi="Times New Roman" w:cs="Times New Roman"/>
      <w:lang w:val="en-US"/>
    </w:rPr>
  </w:style>
  <w:style w:type="paragraph" w:customStyle="1" w:styleId="Default">
    <w:name w:val="Default"/>
    <w:rsid w:val="006E0F6E"/>
    <w:pPr>
      <w:autoSpaceDE w:val="0"/>
      <w:autoSpaceDN w:val="0"/>
      <w:adjustRightInd w:val="0"/>
    </w:pPr>
    <w:rPr>
      <w:rFonts w:ascii="American Typewriter" w:hAnsi="American Typewriter" w:cs="American Typewriter"/>
      <w:color w:val="000000"/>
      <w:sz w:val="24"/>
      <w:szCs w:val="24"/>
      <w:lang w:val="fr-CA" w:eastAsia="en-US"/>
    </w:rPr>
  </w:style>
  <w:style w:type="character" w:customStyle="1" w:styleId="A0">
    <w:name w:val="A0"/>
    <w:uiPriority w:val="99"/>
    <w:rsid w:val="006E0F6E"/>
    <w:rPr>
      <w:color w:val="000000"/>
      <w:sz w:val="18"/>
    </w:rPr>
  </w:style>
  <w:style w:type="paragraph" w:customStyle="1" w:styleId="Pa0">
    <w:name w:val="Pa0"/>
    <w:basedOn w:val="Default"/>
    <w:next w:val="Default"/>
    <w:uiPriority w:val="99"/>
    <w:rsid w:val="006E0F6E"/>
    <w:pPr>
      <w:spacing w:line="241" w:lineRule="atLeast"/>
    </w:pPr>
    <w:rPr>
      <w:rFonts w:cs="Arial"/>
      <w:color w:val="auto"/>
    </w:rPr>
  </w:style>
  <w:style w:type="paragraph" w:customStyle="1" w:styleId="Pa1">
    <w:name w:val="Pa1"/>
    <w:basedOn w:val="Default"/>
    <w:next w:val="Default"/>
    <w:uiPriority w:val="99"/>
    <w:rsid w:val="006E0F6E"/>
    <w:pPr>
      <w:spacing w:line="241" w:lineRule="atLeast"/>
    </w:pPr>
    <w:rPr>
      <w:rFonts w:cs="Arial"/>
      <w:color w:val="auto"/>
    </w:rPr>
  </w:style>
  <w:style w:type="character" w:customStyle="1" w:styleId="A3">
    <w:name w:val="A3"/>
    <w:uiPriority w:val="99"/>
    <w:rsid w:val="006E0F6E"/>
    <w:rPr>
      <w:color w:val="000000"/>
      <w:sz w:val="32"/>
    </w:rPr>
  </w:style>
  <w:style w:type="character" w:customStyle="1" w:styleId="apple-converted-space">
    <w:name w:val="apple-converted-space"/>
    <w:rsid w:val="00D33F38"/>
    <w:rPr>
      <w:rFonts w:cs="Times New Roman"/>
    </w:rPr>
  </w:style>
  <w:style w:type="paragraph" w:customStyle="1" w:styleId="Style2">
    <w:name w:val="Style 2"/>
    <w:rsid w:val="00BF0D54"/>
    <w:pPr>
      <w:widowControl w:val="0"/>
      <w:autoSpaceDE w:val="0"/>
      <w:autoSpaceDN w:val="0"/>
      <w:spacing w:before="216"/>
      <w:jc w:val="both"/>
    </w:pPr>
    <w:rPr>
      <w:rFonts w:ascii="Times New Roman" w:hAnsi="Times New Roman" w:cs="Times New Roman"/>
      <w:sz w:val="24"/>
      <w:szCs w:val="24"/>
      <w:lang w:val="en-US" w:eastAsia="en-US"/>
    </w:rPr>
  </w:style>
  <w:style w:type="paragraph" w:styleId="Header">
    <w:name w:val="header"/>
    <w:basedOn w:val="Normal"/>
    <w:link w:val="HeaderChar"/>
    <w:uiPriority w:val="99"/>
    <w:semiHidden/>
    <w:unhideWhenUsed/>
    <w:rsid w:val="0017121D"/>
    <w:pPr>
      <w:tabs>
        <w:tab w:val="center" w:pos="4320"/>
        <w:tab w:val="right" w:pos="8640"/>
      </w:tabs>
      <w:spacing w:line="240" w:lineRule="auto"/>
    </w:pPr>
    <w:rPr>
      <w:rFonts w:cs="Times New Roman"/>
      <w:lang w:eastAsia="x-none"/>
    </w:rPr>
  </w:style>
  <w:style w:type="character" w:customStyle="1" w:styleId="HeaderChar">
    <w:name w:val="Header Char"/>
    <w:link w:val="Header"/>
    <w:uiPriority w:val="99"/>
    <w:semiHidden/>
    <w:locked/>
    <w:rsid w:val="0017121D"/>
    <w:rPr>
      <w:rFonts w:ascii="Calibri" w:hAnsi="Calibri" w:cs="Calibri"/>
      <w:sz w:val="24"/>
      <w:szCs w:val="24"/>
      <w:lang w:val="fr-CA"/>
    </w:rPr>
  </w:style>
  <w:style w:type="character" w:styleId="FollowedHyperlink">
    <w:name w:val="FollowedHyperlink"/>
    <w:uiPriority w:val="99"/>
    <w:semiHidden/>
    <w:unhideWhenUsed/>
    <w:rsid w:val="009E7970"/>
    <w:rPr>
      <w:rFonts w:cs="Times New Roman"/>
      <w:color w:val="800080"/>
      <w:u w:val="single"/>
    </w:rPr>
  </w:style>
  <w:style w:type="character" w:styleId="Emphasis">
    <w:name w:val="Emphasis"/>
    <w:uiPriority w:val="20"/>
    <w:qFormat/>
    <w:rsid w:val="008559DA"/>
    <w:rPr>
      <w:rFonts w:cs="Times New Roman"/>
      <w:i/>
      <w:iCs/>
    </w:rPr>
  </w:style>
  <w:style w:type="paragraph" w:styleId="NoSpacing">
    <w:name w:val="No Spacing"/>
    <w:uiPriority w:val="1"/>
    <w:qFormat/>
    <w:rsid w:val="00121BCD"/>
    <w:pPr>
      <w:jc w:val="both"/>
    </w:pPr>
    <w:rPr>
      <w:sz w:val="24"/>
      <w:szCs w:val="24"/>
      <w:lang w:val="fr-CA" w:eastAsia="en-US"/>
    </w:rPr>
  </w:style>
  <w:style w:type="character" w:customStyle="1" w:styleId="gold">
    <w:name w:val="gold"/>
    <w:rsid w:val="00597A58"/>
    <w:rPr>
      <w:rFonts w:cs="Times New Roman"/>
    </w:rPr>
  </w:style>
  <w:style w:type="character" w:customStyle="1" w:styleId="ccbnnewstxt">
    <w:name w:val="ccbnnewstxt"/>
    <w:basedOn w:val="DefaultParagraphFont"/>
    <w:rsid w:val="00F34D83"/>
  </w:style>
  <w:style w:type="character" w:customStyle="1" w:styleId="Heading2Char">
    <w:name w:val="Heading 2 Char"/>
    <w:link w:val="Heading2"/>
    <w:uiPriority w:val="9"/>
    <w:rsid w:val="00075866"/>
    <w:rPr>
      <w:rFonts w:ascii="Times New Roman" w:hAnsi="Times New Roman" w:cs="Times New Roman"/>
      <w:b/>
      <w:bCs/>
      <w:sz w:val="36"/>
      <w:szCs w:val="36"/>
    </w:rPr>
  </w:style>
  <w:style w:type="character" w:customStyle="1" w:styleId="Heading1Char">
    <w:name w:val="Heading 1 Char"/>
    <w:link w:val="Heading1"/>
    <w:uiPriority w:val="9"/>
    <w:rsid w:val="00E42980"/>
    <w:rPr>
      <w:rFonts w:ascii="Calibri Light" w:eastAsia="MS Gothic" w:hAnsi="Calibri Light" w:cs="Times New Roman"/>
      <w:b/>
      <w:bCs/>
      <w:color w:val="2E74B5"/>
      <w:sz w:val="28"/>
      <w:szCs w:val="28"/>
      <w:lang w:eastAsia="en-US"/>
    </w:rPr>
  </w:style>
  <w:style w:type="character" w:customStyle="1" w:styleId="Heading5Char">
    <w:name w:val="Heading 5 Char"/>
    <w:link w:val="Heading5"/>
    <w:uiPriority w:val="9"/>
    <w:rsid w:val="000478D3"/>
    <w:rPr>
      <w:rFonts w:ascii="Calibri Light" w:eastAsia="MS Gothic" w:hAnsi="Calibri Light" w:cs="Times New Roman"/>
      <w:color w:val="2E74B5"/>
      <w:sz w:val="24"/>
      <w:szCs w:val="24"/>
      <w:lang w:eastAsia="en-US"/>
    </w:rPr>
  </w:style>
  <w:style w:type="paragraph" w:styleId="Revision">
    <w:name w:val="Revision"/>
    <w:hidden/>
    <w:uiPriority w:val="99"/>
    <w:semiHidden/>
    <w:rsid w:val="00670255"/>
    <w:rPr>
      <w:sz w:val="24"/>
      <w:szCs w:val="24"/>
      <w:lang w:val="fr-CA" w:eastAsia="en-US"/>
    </w:rPr>
  </w:style>
  <w:style w:type="character" w:customStyle="1" w:styleId="EasyID">
    <w:name w:val="EasyID"/>
    <w:rsid w:val="00510D81"/>
    <w:rPr>
      <w:rFonts w:ascii="Arial" w:hAnsi="Arial" w:cs="Arial"/>
      <w:color w:val="auto"/>
      <w:sz w:val="14"/>
      <w:szCs w:val="20"/>
      <w:lang w:val="en-US" w:eastAsia="en-US" w:bidi="ar-SA"/>
    </w:rPr>
  </w:style>
  <w:style w:type="character" w:customStyle="1" w:styleId="Lienhypertexte1">
    <w:name w:val="Lien hypertexte1"/>
    <w:uiPriority w:val="99"/>
    <w:unhideWhenUsed/>
    <w:rsid w:val="00503851"/>
    <w:rPr>
      <w:rFonts w:cs="Times New Roman"/>
      <w:color w:val="0000FF"/>
      <w:u w:val="single"/>
    </w:rPr>
  </w:style>
  <w:style w:type="character" w:customStyle="1" w:styleId="Mentionnonrsolue1">
    <w:name w:val="Mention non résolue1"/>
    <w:basedOn w:val="DefaultParagraphFont"/>
    <w:uiPriority w:val="99"/>
    <w:semiHidden/>
    <w:unhideWhenUsed/>
    <w:rsid w:val="00A95ACD"/>
    <w:rPr>
      <w:color w:val="605E5C"/>
      <w:shd w:val="clear" w:color="auto" w:fill="E1DFDD"/>
    </w:rPr>
  </w:style>
  <w:style w:type="character" w:styleId="UnresolvedMention">
    <w:name w:val="Unresolved Mention"/>
    <w:basedOn w:val="DefaultParagraphFont"/>
    <w:uiPriority w:val="99"/>
    <w:semiHidden/>
    <w:unhideWhenUsed/>
    <w:rsid w:val="002A6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812">
      <w:bodyDiv w:val="1"/>
      <w:marLeft w:val="0"/>
      <w:marRight w:val="0"/>
      <w:marTop w:val="0"/>
      <w:marBottom w:val="0"/>
      <w:divBdr>
        <w:top w:val="none" w:sz="0" w:space="0" w:color="auto"/>
        <w:left w:val="none" w:sz="0" w:space="0" w:color="auto"/>
        <w:bottom w:val="none" w:sz="0" w:space="0" w:color="auto"/>
        <w:right w:val="none" w:sz="0" w:space="0" w:color="auto"/>
      </w:divBdr>
    </w:div>
    <w:div w:id="661813172">
      <w:bodyDiv w:val="1"/>
      <w:marLeft w:val="0"/>
      <w:marRight w:val="0"/>
      <w:marTop w:val="0"/>
      <w:marBottom w:val="0"/>
      <w:divBdr>
        <w:top w:val="none" w:sz="0" w:space="0" w:color="auto"/>
        <w:left w:val="none" w:sz="0" w:space="0" w:color="auto"/>
        <w:bottom w:val="none" w:sz="0" w:space="0" w:color="auto"/>
        <w:right w:val="none" w:sz="0" w:space="0" w:color="auto"/>
      </w:divBdr>
    </w:div>
    <w:div w:id="778909587">
      <w:bodyDiv w:val="1"/>
      <w:marLeft w:val="0"/>
      <w:marRight w:val="0"/>
      <w:marTop w:val="0"/>
      <w:marBottom w:val="0"/>
      <w:divBdr>
        <w:top w:val="none" w:sz="0" w:space="0" w:color="auto"/>
        <w:left w:val="none" w:sz="0" w:space="0" w:color="auto"/>
        <w:bottom w:val="none" w:sz="0" w:space="0" w:color="auto"/>
        <w:right w:val="none" w:sz="0" w:space="0" w:color="auto"/>
      </w:divBdr>
    </w:div>
    <w:div w:id="790367564">
      <w:bodyDiv w:val="1"/>
      <w:marLeft w:val="0"/>
      <w:marRight w:val="0"/>
      <w:marTop w:val="0"/>
      <w:marBottom w:val="0"/>
      <w:divBdr>
        <w:top w:val="none" w:sz="0" w:space="0" w:color="auto"/>
        <w:left w:val="none" w:sz="0" w:space="0" w:color="auto"/>
        <w:bottom w:val="none" w:sz="0" w:space="0" w:color="auto"/>
        <w:right w:val="none" w:sz="0" w:space="0" w:color="auto"/>
      </w:divBdr>
    </w:div>
    <w:div w:id="1457794443">
      <w:bodyDiv w:val="1"/>
      <w:marLeft w:val="0"/>
      <w:marRight w:val="0"/>
      <w:marTop w:val="0"/>
      <w:marBottom w:val="0"/>
      <w:divBdr>
        <w:top w:val="none" w:sz="0" w:space="0" w:color="auto"/>
        <w:left w:val="none" w:sz="0" w:space="0" w:color="auto"/>
        <w:bottom w:val="none" w:sz="0" w:space="0" w:color="auto"/>
        <w:right w:val="none" w:sz="0" w:space="0" w:color="auto"/>
      </w:divBdr>
    </w:div>
    <w:div w:id="167333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ugerman@Geomega.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omega.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ncyt@vorti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B36D6B3C251146A8A3AE90BD886306" ma:contentTypeVersion="12" ma:contentTypeDescription="Crée un document." ma:contentTypeScope="" ma:versionID="fcd4640211856bc7fd88d7b8dd83c1b6">
  <xsd:schema xmlns:xsd="http://www.w3.org/2001/XMLSchema" xmlns:xs="http://www.w3.org/2001/XMLSchema" xmlns:p="http://schemas.microsoft.com/office/2006/metadata/properties" xmlns:ns2="bda1b83d-46b9-4fbf-869a-190dfd13ae9e" xmlns:ns3="2ea43c2f-bb44-4bf8-b1cb-5f94f3bebdd2" targetNamespace="http://schemas.microsoft.com/office/2006/metadata/properties" ma:root="true" ma:fieldsID="83557971d5ed5cb66e81ca4ebb69c55e" ns2:_="" ns3:_="">
    <xsd:import namespace="bda1b83d-46b9-4fbf-869a-190dfd13ae9e"/>
    <xsd:import namespace="2ea43c2f-bb44-4bf8-b1cb-5f94f3bebd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1b83d-46b9-4fbf-869a-190dfd13a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43c2f-bb44-4bf8-b1cb-5f94f3bebdd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D885-90D9-4178-BC75-FCDE66F9B4F3}">
  <ds:schemaRefs>
    <ds:schemaRef ds:uri="http://schemas.microsoft.com/sharepoint/v3/contenttype/forms"/>
  </ds:schemaRefs>
</ds:datastoreItem>
</file>

<file path=customXml/itemProps2.xml><?xml version="1.0" encoding="utf-8"?>
<ds:datastoreItem xmlns:ds="http://schemas.openxmlformats.org/officeDocument/2006/customXml" ds:itemID="{71B506A2-E6A1-40AE-A31A-D164D8215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610C3D-A99B-4972-A1A8-D236DDB10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1b83d-46b9-4fbf-869a-190dfd13ae9e"/>
    <ds:schemaRef ds:uri="2ea43c2f-bb44-4bf8-b1cb-5f94f3beb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522D4-DFE0-4246-95EB-25BE129F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7951</CharactersWithSpaces>
  <SharedDoc>false</SharedDoc>
  <HLinks>
    <vt:vector size="12" baseType="variant">
      <vt:variant>
        <vt:i4>4325417</vt:i4>
      </vt:variant>
      <vt:variant>
        <vt:i4>3</vt:i4>
      </vt:variant>
      <vt:variant>
        <vt:i4>0</vt:i4>
      </vt:variant>
      <vt:variant>
        <vt:i4>5</vt:i4>
      </vt:variant>
      <vt:variant>
        <vt:lpwstr>https://geomega.sharepoint.com/Dveloppement Corporatif/Press Releases/2015/09. September/kmugerman@geomega.ca</vt:lpwstr>
      </vt:variant>
      <vt:variant>
        <vt:lpwstr/>
      </vt:variant>
      <vt:variant>
        <vt:i4>7012464</vt:i4>
      </vt:variant>
      <vt:variant>
        <vt:i4>0</vt:i4>
      </vt:variant>
      <vt:variant>
        <vt:i4>0</vt:i4>
      </vt:variant>
      <vt:variant>
        <vt:i4>5</vt:i4>
      </vt:variant>
      <vt:variant>
        <vt:lpwstr>http://www.geomega.ca/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2017-10-20T13:55:00Z</cp:lastPrinted>
  <dcterms:created xsi:type="dcterms:W3CDTF">2020-09-29T19:55:00Z</dcterms:created>
  <dcterms:modified xsi:type="dcterms:W3CDTF">2023-11-24T21:37:00Z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0x010100B1B36D6B3C251146A8A3AE90BD886306</vt:lpwstr>
  </property>
</Properties>
</file>